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parenting proposal</w:t>
      </w:r>
    </w:p>
    <w:p>
      <w:r>
        <w:rPr>
          <w:i/>
          <w:color w:val="444444"/>
          <w:sz w:val="19"/>
        </w:rPr>
        <w:t>Whitfield &amp; Nguyen | PR/2026/0447 | 13 July 2026</w:t>
      </w:r>
    </w:p>
    <w:p>
      <w:r>
        <w:rPr>
          <w:b/>
        </w:rPr>
        <w:t xml:space="preserve">Author:  </w:t>
      </w:r>
      <w:r>
        <w:t>Priya Raman</w:t>
      </w:r>
    </w:p>
    <w:p>
      <w:r>
        <w:t>The client's proposal is that the children live with her and spend alternate weekends and each Wednesday with the respondent.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