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respondent's work hours</w:t>
      </w:r>
    </w:p>
    <w:p>
      <w:r>
        <w:rPr>
          <w:i/>
          <w:color w:val="444444"/>
          <w:sz w:val="19"/>
        </w:rPr>
        <w:t>Whitfield &amp; Nguyen | PR/2026/0447 | 16 July 2026</w:t>
      </w:r>
    </w:p>
    <w:p>
      <w:r>
        <w:rPr>
          <w:b/>
        </w:rPr>
        <w:t xml:space="preserve">Author:  </w:t>
      </w:r>
      <w:r>
        <w:t>Priya Raman</w:t>
      </w:r>
    </w:p>
    <w:p>
      <w:r>
        <w:t>The respondent works Thursday to Sunday evenings at the restaurant, which is why equal time is not workable.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