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interim orders rationale</w:t>
      </w:r>
    </w:p>
    <w:p>
      <w:r>
        <w:rPr>
          <w:i/>
          <w:color w:val="444444"/>
          <w:sz w:val="19"/>
        </w:rPr>
        <w:t>Whitfield &amp; Nguyen | PR/2026/0447 | 19 July 2026</w:t>
      </w:r>
    </w:p>
    <w:p>
      <w:r>
        <w:rPr>
          <w:b/>
        </w:rPr>
        <w:t xml:space="preserve">Author:  </w:t>
      </w:r>
      <w:r>
        <w:t>Priya Raman</w:t>
      </w:r>
    </w:p>
    <w:p>
      <w:r>
        <w:t>Interim orders are sought to preserve the Nicholson Street property and to fix the children's arrangements pending final hearing.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