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Running file note - no urgency</w:t>
      </w:r>
    </w:p>
    <w:p>
      <w:r>
        <w:rPr>
          <w:i/>
          <w:color w:val="444444"/>
          <w:sz w:val="19"/>
        </w:rPr>
        <w:t>Whitfield &amp; Nguyen | PR/2026/0447 | 22 July 2026</w:t>
      </w:r>
    </w:p>
    <w:p>
      <w:r>
        <w:rPr>
          <w:b/>
        </w:rPr>
        <w:t xml:space="preserve">Author:  </w:t>
      </w:r>
      <w:r>
        <w:t>Priya Raman</w:t>
      </w:r>
    </w:p>
    <w:p>
      <w:r>
        <w:t>There is no basis for urgent or ex parte relief. The interim intervention order provides immediate protection.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