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no travel restraint</w:t>
      </w:r>
    </w:p>
    <w:p>
      <w:r>
        <w:rPr>
          <w:i/>
          <w:color w:val="444444"/>
          <w:sz w:val="19"/>
        </w:rPr>
        <w:t>Whitfield &amp; Nguyen | PR/2026/0447 | 25 July 2026</w:t>
      </w:r>
    </w:p>
    <w:p>
      <w:r>
        <w:rPr>
          <w:b/>
        </w:rPr>
        <w:t xml:space="preserve">Author:  </w:t>
      </w:r>
      <w:r>
        <w:t>Priya Raman</w:t>
      </w:r>
    </w:p>
    <w:p>
      <w:r>
        <w:t>The children's passports are held by the client. No Airport Watch List order or travel restraint is sought.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