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interpreter arrangements</w:t>
      </w:r>
    </w:p>
    <w:p>
      <w:r>
        <w:rPr>
          <w:i/>
          <w:color w:val="444444"/>
          <w:sz w:val="19"/>
        </w:rPr>
        <w:t>Whitfield &amp; Nguyen | PR/2026/0447 | 28 July 2026</w:t>
      </w:r>
    </w:p>
    <w:p>
      <w:r>
        <w:rPr>
          <w:b/>
        </w:rPr>
        <w:t xml:space="preserve">Author:  </w:t>
      </w:r>
      <w:r>
        <w:t>Priya Raman</w:t>
      </w:r>
    </w:p>
    <w:p>
      <w:r>
        <w:t>A Vietnamese interpreter is required for the respondent at every court event. The client does not require an interpreter.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