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safe room request</w:t>
      </w:r>
    </w:p>
    <w:p>
      <w:r>
        <w:rPr>
          <w:i/>
          <w:color w:val="444444"/>
          <w:sz w:val="19"/>
        </w:rPr>
        <w:t>Whitfield &amp; Nguyen | PR/2026/0447 | 31 July 2026</w:t>
      </w:r>
    </w:p>
    <w:p>
      <w:r>
        <w:rPr>
          <w:b/>
        </w:rPr>
        <w:t xml:space="preserve">Author:  </w:t>
      </w:r>
      <w:r>
        <w:t>Priya Raman</w:t>
      </w:r>
    </w:p>
    <w:p>
      <w:r>
        <w:t>A safe room and separate entry and exit will be requested when filing because the client has fears for her safety.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