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Running file note - filing fee</w:t>
      </w:r>
    </w:p>
    <w:p>
      <w:r>
        <w:rPr>
          <w:i/>
          <w:color w:val="444444"/>
          <w:sz w:val="19"/>
        </w:rPr>
        <w:t>Whitfield &amp; Nguyen | PR/2026/0447 | 3 August 2026</w:t>
      </w:r>
    </w:p>
    <w:p>
      <w:r>
        <w:rPr>
          <w:b/>
        </w:rPr>
        <w:t xml:space="preserve">Author:  </w:t>
      </w:r>
      <w:r>
        <w:t>Priya Raman</w:t>
      </w:r>
    </w:p>
    <w:p>
      <w:r>
        <w:t>The full filing fee of $735 is payable. The client is not eligible for and does not seek a fee exemption.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