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documents to be filed</w:t>
      </w:r>
    </w:p>
    <w:p>
      <w:r>
        <w:rPr>
          <w:i/>
          <w:color w:val="444444"/>
          <w:sz w:val="19"/>
        </w:rPr>
        <w:t>Whitfield &amp; Nguyen | PR/2026/0447 | 6 August 2026</w:t>
      </w:r>
    </w:p>
    <w:p>
      <w:r>
        <w:rPr>
          <w:b/>
        </w:rPr>
        <w:t xml:space="preserve">Author:  </w:t>
      </w:r>
      <w:r>
        <w:t>Priya Raman</w:t>
      </w:r>
    </w:p>
    <w:p>
      <w:r>
        <w:t>Genuine Steps Certificate, Notice of Child Abuse Family Violence or Risk, section 60I certificate, sealed interim intervention order, affidavit, Financial Statement and Undertaking as to Disclosure.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