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registry and division</w:t>
      </w:r>
    </w:p>
    <w:p>
      <w:r>
        <w:rPr>
          <w:i/>
          <w:color w:val="444444"/>
          <w:sz w:val="19"/>
        </w:rPr>
        <w:t>Whitfield &amp; Nguyen | PR/2026/0447 | 9 August 2026</w:t>
      </w:r>
    </w:p>
    <w:p>
      <w:r>
        <w:rPr>
          <w:b/>
        </w:rPr>
        <w:t xml:space="preserve">Author:  </w:t>
      </w:r>
      <w:r>
        <w:t>Priya Raman</w:t>
      </w:r>
    </w:p>
    <w:p>
      <w:r>
        <w:t>Melbourne registry, Division 2. On the portal the State selected is Victoria.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