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File note — contributions and future needs</w:t>
      </w:r>
    </w:p>
    <w:p>
      <w:r>
        <w:rPr>
          <w:b/>
          <w:sz w:val="22"/>
        </w:rPr>
        <w:t>Financial contributions</w:t>
      </w:r>
    </w:p>
    <w:p>
      <w:r>
        <w:t>The applicant's parents gifted $60,000 towards the deposit on 18 Kelburn Street in August 2016. The applicant earned $104,118 to $118,420 per annum across the relationship and her salary serviced the mortgage from 2020 onwards.</w:t>
      </w:r>
    </w:p>
    <w:p>
      <w:r>
        <w:rPr>
          <w:b/>
          <w:sz w:val="22"/>
        </w:rPr>
        <w:t>Non-financial contributions</w:t>
      </w:r>
    </w:p>
    <w:p>
      <w:r>
        <w:t>The applicant was the primary carer of all three children and took 14 months' unpaid parental leave after each birth. She managed the renovation of the Coburg home in 2018-19. She contributed unpaid labour at the restaurant on weekends during its first two years.</w:t>
      </w:r>
    </w:p>
    <w:p>
      <w:r>
        <w:rPr>
          <w:b/>
          <w:sz w:val="22"/>
        </w:rPr>
        <w:t>Serious injustice</w:t>
      </w:r>
    </w:p>
    <w:p>
      <w:r>
        <w:t>A failure to make an order or declaration would result in serious injustice to the applicant. Her contributions were substantial in both financial and non-financial terms, she has the primary care of three children, and the respondent holds the investment property and the business in his sole name.</w:t>
      </w:r>
    </w:p>
    <w:p>
      <w:r>
        <w:rPr>
          <w:b/>
          <w:sz w:val="22"/>
        </w:rPr>
        <w:t>Where contributions were made</w:t>
      </w:r>
    </w:p>
    <w:p>
      <w:r>
        <w:t>All of the applicant's contributions were made in Victoria. Neither party has ever been ordinarily resident outside Victoria during the relationship.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