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File note — Part F: other court cases and orders</w:t>
      </w:r>
    </w:p>
    <w:p>
      <w:r>
        <w:rPr>
          <w:b/>
          <w:sz w:val="22"/>
        </w:rPr>
        <w:t>49a / F1 — ongoing cases</w:t>
      </w:r>
    </w:p>
    <w:p>
      <w:r>
        <w:rPr>
          <w:b/>
        </w:rPr>
        <w:t xml:space="preserve">Are there ongoing cases?  </w:t>
      </w:r>
      <w:r>
        <w:t>Yes — one</w:t>
      </w:r>
    </w:p>
    <w:p>
      <w:r>
        <w:rPr>
          <w:b/>
        </w:rPr>
        <w:t xml:space="preserve">49b / Court name and place:  </w:t>
      </w:r>
      <w:r>
        <w:t>Magistrates' Court of Victoria at Broadmeadows</w:t>
      </w:r>
    </w:p>
    <w:p>
      <w:r>
        <w:rPr>
          <w:b/>
        </w:rPr>
        <w:t xml:space="preserve">49c / Next court date:  </w:t>
      </w:r>
      <w:r>
        <w:t>09/09/2026</w:t>
      </w:r>
    </w:p>
    <w:p>
      <w:r>
        <w:rPr>
          <w:b/>
        </w:rPr>
        <w:t xml:space="preserve">49d / Names of parties:  </w:t>
      </w:r>
      <w:r>
        <w:t>Victoria Police (applicant); Amara Jane Whitfield (affected family member); Bao Tri Nguyen (respondent); Harper, Elliot and Thea Nguyen (protected children)</w:t>
      </w:r>
    </w:p>
    <w:p>
      <w:r>
        <w:rPr>
          <w:b/>
        </w:rPr>
        <w:t xml:space="preserve">49e / Nature of the orders sought:  </w:t>
      </w:r>
      <w:r>
        <w:t>A final family violence intervention order under the Family Violence Protection Act 2008 (Vic) protecting the applicant and the three children</w:t>
      </w:r>
    </w:p>
    <w:p>
      <w:r>
        <w:rPr>
          <w:b/>
          <w:sz w:val="22"/>
        </w:rPr>
        <w:t>50a / F2 — existing orders, agreements or undertakings</w:t>
      </w:r>
    </w:p>
    <w:p>
      <w:r>
        <w:rPr>
          <w:b/>
        </w:rPr>
        <w:t xml:space="preserve">Are there existing orders etc?  </w:t>
      </w:r>
      <w:r>
        <w:t>Yes — two</w:t>
      </w:r>
    </w:p>
    <w:p>
      <w:r>
        <w:rPr>
          <w:b/>
        </w:rPr>
        <w:t xml:space="preserve">Item 1 — court name and place:  </w:t>
      </w:r>
      <w:r>
        <w:t>Magistrates' Court of Victoria at Broadmeadows</w:t>
      </w:r>
    </w:p>
    <w:p>
      <w:r>
        <w:rPr>
          <w:b/>
        </w:rPr>
        <w:t xml:space="preserve">Item 1 — date:  </w:t>
      </w:r>
      <w:r>
        <w:t>12/06/2026</w:t>
      </w:r>
    </w:p>
    <w:p>
      <w:r>
        <w:rPr>
          <w:b/>
        </w:rPr>
        <w:t xml:space="preserve">Item 1 — parties:  </w:t>
      </w:r>
      <w:r>
        <w:t>Amara Jane Whitfield and the three children (protected persons); Bao Tri Nguyen (respondent)</w:t>
      </w:r>
    </w:p>
    <w:p>
      <w:r>
        <w:rPr>
          <w:b/>
        </w:rPr>
        <w:t xml:space="preserve">Item 1 — details:  </w:t>
      </w:r>
      <w:r>
        <w:t>Interim family violence intervention order. Sealed copy to be attached.</w:t>
      </w:r>
    </w:p>
    <w:p>
      <w:r>
        <w:rPr>
          <w:b/>
        </w:rPr>
        <w:t xml:space="preserve">Item 2 — court name and place:  </w:t>
      </w:r>
      <w:r>
        <w:t>Not a court order — written parenting plan</w:t>
      </w:r>
    </w:p>
    <w:p>
      <w:r>
        <w:rPr>
          <w:b/>
        </w:rPr>
        <w:t xml:space="preserve">Item 2 — date:  </w:t>
      </w:r>
      <w:r>
        <w:t>04/03/2026</w:t>
      </w:r>
    </w:p>
    <w:p>
      <w:r>
        <w:rPr>
          <w:b/>
        </w:rPr>
        <w:t xml:space="preserve">Item 2 — parties:  </w:t>
      </w:r>
      <w:r>
        <w:t>Amara Jane Whitfield and Bao Tri Nguyen</w:t>
      </w:r>
    </w:p>
    <w:p>
      <w:r>
        <w:rPr>
          <w:b/>
        </w:rPr>
        <w:t xml:space="preserve">Item 2 — details:  </w:t>
      </w:r>
      <w:r>
        <w:t>Written parenting plan signed 4 March 2026 providing for the children to live with the applicant and spend time with the respondent each alternate weekend; ceased to be followed by the respondent from May 2026.</w:t>
      </w:r>
    </w:p>
    <w:p>
      <w:r>
        <w:rPr>
          <w:b/>
          <w:sz w:val="22"/>
        </w:rPr>
        <w:t>Confirmed absences</w:t>
      </w:r>
    </w:p>
    <w:p>
      <w:r>
        <w:t>There are no child support court orders, no child welfare proceedings, no orders of any other court and no undertakings to any court.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