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File note — Part D children's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  <w:t>Child 1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  <w:t>Child 2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  <w:t>Child 3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Family name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NGUYEN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NGUYEN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NGUYEN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Given names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Harper Mai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Elliot Van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Thea Grace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Date of birth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08/06/2014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21/02/2017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30/09/2021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Gender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 (female)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 (male)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F (female)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Parent 1 family name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WHITFIELD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WHITFIELD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WHITFIELD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Parent 1 given names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Amara Jane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Amara Jane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Amara Jane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Parent 2 family name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NGUYEN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NGUYEN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NGUYEN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Parent 2 given names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Bao Tri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Bao Tri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Bao Tri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With whom does the child live?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The applicant mother (Parent 1)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The applicant mother (Parent 1)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The applicant mother (Parent 1)</w:t>
            </w:r>
          </w:p>
        </w:tc>
      </w:tr>
    </w:tbl>
    <w:p/>
    <w:p>
      <w:r>
        <w:t>There is no Child 4. On the Commonwealth Courts Portal the 'Who does the child live with?' dropdown answer is 'Parent 1' for each of the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