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Running file note - one applicant only</w:t>
      </w:r>
    </w:p>
    <w:p>
      <w:r>
        <w:rPr>
          <w:i/>
          <w:color w:val="444444"/>
          <w:sz w:val="19"/>
        </w:rPr>
        <w:t>Whitfield &amp; Nguyen | PR/2026/0447 | 12 August 2026</w:t>
      </w:r>
    </w:p>
    <w:p>
      <w:r>
        <w:rPr>
          <w:b/>
        </w:rPr>
        <w:t xml:space="preserve">Author:  </w:t>
      </w:r>
      <w:r>
        <w:t>Priya Raman</w:t>
      </w:r>
    </w:p>
    <w:p>
      <w:r>
        <w:t>There is one applicant and one respondent. No second applicant or second respondent details are required.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