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Chronology — Whitfield &amp; Nguyen</w:t>
      </w:r>
    </w:p>
    <w:p>
      <w:r>
        <w:rPr>
          <w:i/>
          <w:color w:val="444444"/>
          <w:sz w:val="19"/>
        </w:rPr>
        <w:t>Prepared for the first court event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4873"/>
          </w:tcPr>
          <w:p>
            <w:r>
              <w:rPr>
                <w:b/>
                <w:sz w:val="19"/>
              </w:rPr>
              <w:t>Event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22/07/1988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Applicant Amara Jane Whitfield born at Ballarat, Victoria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05/11/1984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Respondent Bao Tri Nguyen born at Da Nang, Viet Nam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14/03/2009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Respondent becomes an Australian citizen by conferral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04/03/2012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Parties commence living together at 7/23 Fenwick Street, Clifton Hill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19/09/2014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Parties register their relationship under the Relationships Act 2008 (Vic) — RR 2014/018842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08/06/2014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Harper Mai Nguyen born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22/08/2016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18 Kelburn Street, Coburg purchased for $742,000 as joint tenants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21/02/2017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Elliot Van Nguyen born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21/03/2017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Hai Au Kitchen Pty Ltd registered — respondent sole director and shareholder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14/11/2019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12/6 Nicholson Street, Coburg purchased by the respondent in his sole name for $498,000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30/09/2021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Thea Grace Nguyen born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27/11/2025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Final separation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09/02/2026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Respondent vacates the former family home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04/03/2026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Parenting plan signed by both parties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18/03/2026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Services Australia child support assessment issued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24/03/2026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Pre-action letter of intention sent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29/04/2026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FDR intake — s 60J advice given to the applicant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21/05/2026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Victoria Police apply for a family violence intervention order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22/05/2026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First joint FDR session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12/06/2026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Interim family violence intervention order made at Broadmeadows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03/07/2026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Second joint FDR session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10/07/2026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Section 60I certificate issued under s 60I(8)(b)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24/07/2026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Single expert values Hai Au Kitchen Pty Ltd at $185,000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14/08/2026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Genuine Steps Certificate signed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21/08/2026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Initiating Application filed — FCFCOA (Division 2), Melbourne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09/09/2026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Intervention order proceeding next listed — contest mention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