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review before filing</w:t>
      </w:r>
    </w:p>
    <w:p>
      <w:r>
        <w:rPr>
          <w:i/>
          <w:color w:val="444444"/>
          <w:sz w:val="19"/>
        </w:rPr>
        <w:t>Whitfield &amp; Nguyen | PR/2026/0447 | 15 August 2026</w:t>
      </w:r>
    </w:p>
    <w:p>
      <w:r>
        <w:rPr>
          <w:b/>
        </w:rPr>
        <w:t xml:space="preserve">Author:  </w:t>
      </w:r>
      <w:r>
        <w:t>Priya Raman</w:t>
      </w:r>
    </w:p>
    <w:p>
      <w:r>
        <w:t>Every field of the Initiating Application has been checked against the documents on the file.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