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Instructions — Part J and Part K</w:t>
      </w:r>
    </w:p>
    <w:p>
      <w:r>
        <w:rPr>
          <w:i/>
          <w:color w:val="444444"/>
          <w:sz w:val="19"/>
        </w:rPr>
        <w:t>Whitfield &amp; Nguyen | 20 August 2026</w:t>
      </w:r>
    </w:p>
    <w:p>
      <w:r>
        <w:rPr>
          <w:b/>
          <w:sz w:val="22"/>
        </w:rPr>
        <w:t>Part J — Lawyer's declaration</w:t>
      </w:r>
    </w:p>
    <w:p>
      <w:r>
        <w:t>I confirm that I gave the applicant a copy of the Court's brochure 'Marriage, Families and Separation' at the conference on 24 February 2026. I will sign the declaration in Part J on 21 August 2026.</w:t>
      </w:r>
    </w:p>
    <w:p>
      <w:r>
        <w:rPr>
          <w:b/>
        </w:rPr>
        <w:t xml:space="preserve">Full name of lawyer:  </w:t>
      </w:r>
      <w:r>
        <w:t>Priya Anjali Raman</w:t>
      </w:r>
    </w:p>
    <w:p>
      <w:r>
        <w:rPr>
          <w:b/>
        </w:rPr>
        <w:t xml:space="preserve">Lawyer's Code:  </w:t>
      </w:r>
      <w:r>
        <w:t>VIC0947</w:t>
      </w:r>
    </w:p>
    <w:p>
      <w:r>
        <w:rPr>
          <w:b/>
        </w:rPr>
        <w:t xml:space="preserve">Date of signature:  </w:t>
      </w:r>
      <w:r>
        <w:t>21 August 2026</w:t>
      </w:r>
    </w:p>
    <w:p>
      <w:r>
        <w:rPr>
          <w:b/>
          <w:sz w:val="22"/>
        </w:rPr>
        <w:t>Part K — Statement of Truth</w:t>
      </w:r>
    </w:p>
    <w:p>
      <w:r>
        <w:t>The applicant has read the four statements in Part K and confirms each is true. She has been advised of her duty of full and frank disclosure and has read and complied with the pre-action procedures in Schedule 1 of the Family Law Rules 2021 and completed a Genuine Steps Certificate.</w:t>
      </w:r>
    </w:p>
    <w:p>
      <w:r>
        <w:rPr>
          <w:b/>
        </w:rPr>
        <w:t xml:space="preserve">Applicant 1:  </w:t>
      </w:r>
      <w:r>
        <w:t>Amara Jane Whitfield</w:t>
      </w:r>
    </w:p>
    <w:p>
      <w:r>
        <w:rPr>
          <w:b/>
        </w:rPr>
        <w:t xml:space="preserve">Applicant 2:  </w:t>
      </w:r>
      <w:r>
        <w:t>Not applicable — there is only one applicant</w:t>
      </w:r>
    </w:p>
    <w:p>
      <w:r>
        <w:rPr>
          <w:b/>
        </w:rPr>
        <w:t xml:space="preserve">Date of signature:  </w:t>
      </w:r>
      <w:r>
        <w:t>21 August 2026</w:t>
      </w:r>
    </w:p>
    <w:p>
      <w:r>
        <w:rPr>
          <w:b/>
          <w:sz w:val="22"/>
        </w:rPr>
        <w:t>Part I — Cross-vested jurisdiction</w:t>
      </w:r>
    </w:p>
    <w:p>
      <w:r>
        <w:t>Not applicable. The applicant does not rely on any cross-vesting law and no Territory law is relied on.</w:t>
      </w:r>
    </w:p>
    <w:p>
      <w:r>
        <w:rPr>
          <w:b/>
          <w:sz w:val="22"/>
        </w:rPr>
        <w:t>Part H — de facto jurisdiction</w:t>
      </w:r>
    </w:p>
    <w:p>
      <w:r>
        <w:t>The applicant relies on the Court's de facto financial jurisdiction. The relationship broke down after 1 March 2009; it lasted more than two years; there are children of the relationship; the applicant made substantial contributions and a failure to make an order would result in serious injustice to her; and the relationship was registered under a prescribed law of Victoria. Both parties were ordinarily resident in Victoria for the whole of the relationship and the applicant's contributions were made in Victoria.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