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Aisha Rahman</w:t>
      </w:r>
    </w:p>
    <w:p>
      <w:r>
        <w:t>Matter: Marisol Reyes v Harbourline Freight Pty Ltd (U2026/4821 and C2026/3390)</w:t>
      </w:r>
    </w:p>
    <w:p>
      <w:r>
        <w:t>I, Aisha Rahman, of 7 Jacaranda Street, Blacktown NSW 2148, Freight Coordinator, say:</w:t>
      </w:r>
    </w:p>
    <w:p>
      <w:r>
        <w:t>1. I have been employed by Harbourline Freight Pty Ltd at the Port Botany depot since 3 October 2022 as a Level 3 Freight Coordinator. My supervisor is Marisol Reyes. Declan Ashworth is her manager.</w:t>
      </w:r>
    </w:p>
    <w:p>
      <w:r>
        <w:t>2. On Thursday 19 March 2026 at about 12:30 pm I was in the Bay 2 lunchroom. Declan Ashworth was speaking to Tomasz Kowalczyk. I heard Declan say: "Reyes wants to play lawyer about overtime and safety. She'll be gone by winter."</w:t>
      </w:r>
    </w:p>
    <w:p>
      <w:r>
        <w:t>3. On 8 April 2026 I attended the toolbox meeting at 7:00 am in the Bay 2 lunchroom. Marisol arrived at about 7:04 am and I saw her sign the attendance sheet.</w:t>
      </w:r>
    </w:p>
    <w:p>
      <w:r>
        <w:t>4. On 14 April 2026 I saw Tomasz hand Marisol the weighbridge docket for consignment HF-88213. It recorded 18.4 tonnes. Marisol copied that weight onto the manifest. On 15 April 2026 I heard Tomasz tell Declan that a technician had found the weighbridge was reading 3.5 tonnes low.</w:t>
      </w:r>
    </w:p>
    <w:p>
      <w:r>
        <w:t>5. Like Marisol, I have been paid overtime at my ordinary hourly rate and not at time and a half or double time.</w:t>
      </w:r>
    </w:p>
    <w:p>
      <w:r>
        <w:t>6. I am giving this statement voluntarily. I am worried about my job but I want to tell the truth.</w:t>
      </w:r>
    </w:p>
    <w:p>
      <w:r>
        <w:t>I believe the contents of this statement are true and correct.</w:t>
      </w:r>
    </w:p>
    <w:p>
      <w:r>
        <w:t>Signed: Aisha Rahman, 12 June 2026</w:t>
      </w:r>
    </w:p>
    <w:p>
      <w:r>
        <w:t>Witnessed by: Owen Pretorius, Associate, Mercer &amp; Lindqvist Lawyers, Parramatta, 12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