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BARRETT COYLE EMPLOYMENT LAWYERS</w:t>
      </w:r>
    </w:p>
    <w:p>
      <w:r>
        <w:t>Level 9, 15 Harbour Road, Sydney NSW 2000 | Tel 02 5550 8800 | gareth.coyle@barrettcoyle.example.com.au</w:t>
      </w:r>
    </w:p>
    <w:p>
      <w:r>
        <w:t>DRAFT - NOT EXECUTED - WITHOUT PREJUDICE</w:t>
      </w:r>
    </w:p>
    <w:p>
      <w:pPr>
        <w:pStyle w:val="Heading1"/>
      </w:pPr>
      <w:r>
        <w:t>Deed of Release</w:t>
      </w:r>
    </w:p>
    <w:p>
      <w:r>
        <w:t>Draft dated 6 July 2026 | Parties: Harbourline Freight Pty Ltd (ABN 11 222 333 444) and Marisol Reyes of 14 Banksia Court, Penrith NSW 2750</w:t>
      </w:r>
    </w:p>
    <w:p>
      <w:pPr>
        <w:pStyle w:val="Heading2"/>
      </w:pPr>
      <w:r>
        <w:t>Recitals</w:t>
      </w:r>
    </w:p>
    <w:p>
      <w:r>
        <w:t>A. Ms Reyes was employed by Harbourline from 14 February 2022 until 12 May 2026.</w:t>
      </w:r>
    </w:p>
    <w:p>
      <w:r>
        <w:t>B. Ms Reyes has made applications U2026/4821 and C2026/3390 and a request for assistance to the Fair Work Ombudsman.</w:t>
      </w:r>
    </w:p>
    <w:p>
      <w:r>
        <w:t>C. The parties wish to settle all claims without admission of liability.</w:t>
      </w:r>
    </w:p>
    <w:p>
      <w:pPr>
        <w:pStyle w:val="Heading2"/>
      </w:pPr>
      <w:r>
        <w:t>1. Settlement sum</w:t>
      </w:r>
    </w:p>
    <w:p>
      <w:r>
        <w:t>Harbourline will pay Ms Reyes $22,000.00 gross within 14 days of execution. This sum replaces the sum of $18,500.00 in the letter of 2 July 2026, which is withdrawn, and is an increase of $3,500.00 on that offer.</w:t>
      </w:r>
    </w:p>
    <w:p>
      <w:pPr>
        <w:pStyle w:val="Heading2"/>
      </w:pPr>
      <w:r>
        <w:t>2. Allocation</w:t>
      </w:r>
    </w:p>
    <w:p>
      <w:r>
        <w:t>Of the settlement sum, $8,388.40 is allocated to the alleged underpayment of overtime, annual leave loading and superannuation (paid as wages, less tax) and $13,611.60 is allocated as compensation. Harbourline does not admit that any underpayment occurred.</w:t>
      </w:r>
    </w:p>
    <w:p>
      <w:pPr>
        <w:pStyle w:val="Heading2"/>
      </w:pPr>
      <w:r>
        <w:t>3. Release and discontinuance</w:t>
      </w:r>
    </w:p>
    <w:p>
      <w:r>
        <w:t>Ms Reyes releases Harbourline from all claims arising from her employment and will discontinue U2026/4821 and C2026/3390 within 2 business days of payment.</w:t>
      </w:r>
    </w:p>
    <w:p>
      <w:pPr>
        <w:pStyle w:val="Heading2"/>
      </w:pPr>
      <w:r>
        <w:t>4. Fair Work Ombudsman</w:t>
      </w:r>
    </w:p>
    <w:p>
      <w:r>
        <w:t>Nothing in this deed prevents Ms Reyes communicating with a regulator, including the Fair Work Ombudsman.</w:t>
      </w:r>
    </w:p>
    <w:p>
      <w:pPr>
        <w:pStyle w:val="Heading2"/>
      </w:pPr>
      <w:r>
        <w:t>5. Confidentiality and non-disparagement</w:t>
      </w:r>
    </w:p>
    <w:p>
      <w:r>
        <w:t>The terms of this deed are confidential, subject to disclosure to professional advisers, regulators and as required by law.</w:t>
      </w:r>
    </w:p>
    <w:p>
      <w:pPr>
        <w:pStyle w:val="Heading2"/>
      </w:pPr>
      <w:r>
        <w:t>6. Statement of service</w:t>
      </w:r>
    </w:p>
    <w:p>
      <w:r>
        <w:t>Harbourline will give a statement of service confirming employment from 14 February 2022 to 12 May 2026.</w:t>
      </w:r>
    </w:p>
    <w:p>
      <w:r>
        <w:t>Executed as a deed: signature blocks for Priya Venkataraman (Harbourline) and Marisol Reyes are blank in this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