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Harcourt Dunne Family Lawyers - Initial Client Intake Form</w:t>
      </w:r>
    </w:p>
    <w:p>
      <w:r>
        <w:t>Date of interview: 16 March 2026. Interviewed by: Fiona Brennan-Hale (Principal). File notes taken by: Sam Odhiambo (paralegal). Matter reference: HD-2026-0217.</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Detail</w:t>
            </w:r>
          </w:p>
        </w:tc>
      </w:tr>
      <w:tr>
        <w:tc>
          <w:tcPr>
            <w:tcW w:type="dxa" w:w="4320"/>
          </w:tcPr>
          <w:p>
            <w:r>
              <w:t>Client</w:t>
            </w:r>
          </w:p>
        </w:tc>
        <w:tc>
          <w:tcPr>
            <w:tcW w:type="dxa" w:w="4320"/>
          </w:tcPr>
          <w:p>
            <w:r>
              <w:t>Adaeze (Ada) Nneka Okafor, born 3 May 1987</w:t>
            </w:r>
          </w:p>
        </w:tc>
      </w:tr>
      <w:tr>
        <w:tc>
          <w:tcPr>
            <w:tcW w:type="dxa" w:w="4320"/>
          </w:tcPr>
          <w:p>
            <w:r>
              <w:t>Residential address</w:t>
            </w:r>
          </w:p>
        </w:tc>
        <w:tc>
          <w:tcPr>
            <w:tcW w:type="dxa" w:w="4320"/>
          </w:tcPr>
          <w:p>
            <w:r>
              <w:t>5/12 Hargreaves Street, Bendigo VIC 3550 (rented since 1 August 2025)</w:t>
            </w:r>
          </w:p>
        </w:tc>
      </w:tr>
      <w:tr>
        <w:tc>
          <w:tcPr>
            <w:tcW w:type="dxa" w:w="4320"/>
          </w:tcPr>
          <w:p>
            <w:r>
              <w:t>Contact</w:t>
            </w:r>
          </w:p>
        </w:tc>
        <w:tc>
          <w:tcPr>
            <w:tcW w:type="dxa" w:w="4320"/>
          </w:tcPr>
          <w:p>
            <w:r>
              <w:t>Mobile 0400 000 214; email ada.okafor@example.com</w:t>
            </w:r>
          </w:p>
        </w:tc>
      </w:tr>
      <w:tr>
        <w:tc>
          <w:tcPr>
            <w:tcW w:type="dxa" w:w="4320"/>
          </w:tcPr>
          <w:p>
            <w:r>
              <w:t>Employer and role</w:t>
            </w:r>
          </w:p>
        </w:tc>
        <w:tc>
          <w:tcPr>
            <w:tcW w:type="dxa" w:w="4320"/>
          </w:tcPr>
          <w:p>
            <w:r>
              <w:t>Loddon Valley Hospital, Bendigo - Registered Nurse; gross salary $98,400 per year</w:t>
            </w:r>
          </w:p>
        </w:tc>
      </w:tr>
      <w:tr>
        <w:tc>
          <w:tcPr>
            <w:tcW w:type="dxa" w:w="4320"/>
          </w:tcPr>
          <w:p>
            <w:r>
              <w:t>Working hours</w:t>
            </w:r>
          </w:p>
        </w:tc>
        <w:tc>
          <w:tcPr>
            <w:tcW w:type="dxa" w:w="4320"/>
          </w:tcPr>
          <w:p>
            <w:r>
              <w:t>Monday to Thursday, 6:45am to 3:15pm</w:t>
            </w:r>
          </w:p>
        </w:tc>
      </w:tr>
      <w:tr>
        <w:tc>
          <w:tcPr>
            <w:tcW w:type="dxa" w:w="4320"/>
          </w:tcPr>
          <w:p>
            <w:r>
              <w:t>Other party</w:t>
            </w:r>
          </w:p>
        </w:tc>
        <w:tc>
          <w:tcPr>
            <w:tcW w:type="dxa" w:w="4320"/>
          </w:tcPr>
          <w:p>
            <w:r>
              <w:t>Trung Nguyen, born 12 November 1984, of 27 Banksia Court, Bendigo VIC 3550; builder</w:t>
            </w:r>
          </w:p>
        </w:tc>
      </w:tr>
      <w:tr>
        <w:tc>
          <w:tcPr>
            <w:tcW w:type="dxa" w:w="4320"/>
          </w:tcPr>
          <w:p>
            <w:r>
              <w:t>Date of marriage</w:t>
            </w:r>
          </w:p>
        </w:tc>
        <w:tc>
          <w:tcPr>
            <w:tcW w:type="dxa" w:w="4320"/>
          </w:tcPr>
          <w:p>
            <w:r>
              <w:t>9 March 2013</w:t>
            </w:r>
          </w:p>
        </w:tc>
      </w:tr>
      <w:tr>
        <w:tc>
          <w:tcPr>
            <w:tcW w:type="dxa" w:w="4320"/>
          </w:tcPr>
          <w:p>
            <w:r>
              <w:t>Date of separation</w:t>
            </w:r>
          </w:p>
        </w:tc>
        <w:tc>
          <w:tcPr>
            <w:tcW w:type="dxa" w:w="4320"/>
          </w:tcPr>
          <w:p>
            <w:r>
              <w:t>18 June 2025</w:t>
            </w:r>
          </w:p>
        </w:tc>
      </w:tr>
      <w:tr>
        <w:tc>
          <w:tcPr>
            <w:tcW w:type="dxa" w:w="4320"/>
          </w:tcPr>
          <w:p>
            <w:r>
              <w:t>Children</w:t>
            </w:r>
          </w:p>
        </w:tc>
        <w:tc>
          <w:tcPr>
            <w:tcW w:type="dxa" w:w="4320"/>
          </w:tcPr>
          <w:p>
            <w:r>
              <w:t>Zara Okafor-Nguyen, born 14 February 2016; Lachlan Okafor-Nguyen, born 2 September 2018</w:t>
            </w:r>
          </w:p>
        </w:tc>
      </w:tr>
      <w:tr>
        <w:tc>
          <w:tcPr>
            <w:tcW w:type="dxa" w:w="4320"/>
          </w:tcPr>
          <w:p>
            <w:r>
              <w:t>Agreements</w:t>
            </w:r>
          </w:p>
        </w:tc>
        <w:tc>
          <w:tcPr>
            <w:tcW w:type="dxa" w:w="4320"/>
          </w:tcPr>
          <w:p>
            <w:r>
              <w:t>No prenuptial or binding financial agreement exists</w:t>
            </w:r>
          </w:p>
        </w:tc>
      </w:tr>
      <w:tr>
        <w:tc>
          <w:tcPr>
            <w:tcW w:type="dxa" w:w="4320"/>
          </w:tcPr>
          <w:p>
            <w:r>
              <w:t>Previous proceedings</w:t>
            </w:r>
          </w:p>
        </w:tc>
        <w:tc>
          <w:tcPr>
            <w:tcW w:type="dxa" w:w="4320"/>
          </w:tcPr>
          <w:p>
            <w:r>
              <w:t>None</w:t>
            </w:r>
          </w:p>
        </w:tc>
      </w:tr>
    </w:tbl>
    <w:p/>
    <w:p>
      <w:pPr>
        <w:pStyle w:val="Heading2"/>
      </w:pPr>
      <w:r>
        <w:t>Instructions in summary</w:t>
      </w:r>
    </w:p>
    <w:p>
      <w:r>
        <w:t>Ms Okafor wishes to relocate with Zara and Lachlan to Brisbane, Queensland, where her parents, Ngozi and Emeka Okafor, live at 19 Jacaranda Street, Chapel Hill QLD 4069. She is applying for senior nursing roles in Brisbane. Mr Nguyen opposes any move. Both parties also need a property settlement; Mr Nguyen runs Nguyen Constructions Pty Ltd and controls the Nguyen Family Trust.</w:t>
      </w:r>
    </w:p>
    <w:p>
      <w:pPr>
        <w:pStyle w:val="Heading2"/>
      </w:pPr>
      <w:r>
        <w:t>Family dispute resolution</w:t>
      </w:r>
    </w:p>
    <w:p>
      <w:r>
        <w:t>Ms Okafor produced two section 60I certificates: FDR-2025-0471 dated 20 November 2025 (non-attendance by Mr Nguyen) and FDR-2026-0093 dated 17 February 2026 (both parties attended). She has not claimed any exemption from family dispute resolution.</w:t>
      </w:r>
    </w:p>
    <w:p>
      <w:r>
        <w:t>Next steps: costs agreement to be signed, Initiating Application to be prepared, Notice of Risk to be completed. Client was advised to keep all communications with Mr Nguyen civil and in writing.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