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Costs Agreement and Disclosure</w:t>
      </w:r>
    </w:p>
    <w:p>
      <w:r>
        <w:t>Legal Profession Uniform Law (Victoria). Date of agreement: 2 April 2026. Client: Adaeze Okafor. Law practice: Harcourt Dunne Family Lawyers, Level 4, 88 Wexford Street, Melbourne VIC 3000. Responsible lawyer: Fiona Brennan-Hale.</w:t>
      </w:r>
    </w:p>
    <w:p>
      <w:pPr>
        <w:pStyle w:val="Heading2"/>
      </w:pPr>
      <w:r>
        <w:t>Scope</w:t>
      </w:r>
    </w:p>
    <w:p>
      <w:r>
        <w:t>The firm will act for Ms Okafor in parenting and property proceedings against Trung Nguyen in the Federal Circuit and Family Court of Australia, including negotiation, interim hearings and preparation for a final hearing.</w:t>
      </w:r>
    </w:p>
    <w:p>
      <w:pPr>
        <w:pStyle w:val="Heading2"/>
      </w:pPr>
      <w:r>
        <w:t>Hourly rates (exclusive of GST)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Person</w:t>
            </w:r>
          </w:p>
        </w:tc>
        <w:tc>
          <w:tcPr>
            <w:tcW w:type="dxa" w:w="2880"/>
          </w:tcPr>
          <w:p>
            <w:r>
              <w:rPr>
                <w:b/>
              </w:rPr>
              <w:t>Role</w:t>
            </w:r>
          </w:p>
        </w:tc>
        <w:tc>
          <w:tcPr>
            <w:tcW w:type="dxa" w:w="2880"/>
          </w:tcPr>
          <w:p>
            <w:r>
              <w:rPr>
                <w:b/>
              </w:rPr>
              <w:t>Rate</w:t>
            </w:r>
          </w:p>
        </w:tc>
      </w:tr>
      <w:tr>
        <w:tc>
          <w:tcPr>
            <w:tcW w:type="dxa" w:w="2880"/>
          </w:tcPr>
          <w:p>
            <w:r>
              <w:t>Fiona Brennan-Hale</w:t>
            </w:r>
          </w:p>
        </w:tc>
        <w:tc>
          <w:tcPr>
            <w:tcW w:type="dxa" w:w="2880"/>
          </w:tcPr>
          <w:p>
            <w:r>
              <w:t>Principal</w:t>
            </w:r>
          </w:p>
        </w:tc>
        <w:tc>
          <w:tcPr>
            <w:tcW w:type="dxa" w:w="2880"/>
          </w:tcPr>
          <w:p>
            <w:r>
              <w:t>$650 per hour</w:t>
            </w:r>
          </w:p>
        </w:tc>
      </w:tr>
      <w:tr>
        <w:tc>
          <w:tcPr>
            <w:tcW w:type="dxa" w:w="2880"/>
          </w:tcPr>
          <w:p>
            <w:r>
              <w:t>Sam Odhiambo</w:t>
            </w:r>
          </w:p>
        </w:tc>
        <w:tc>
          <w:tcPr>
            <w:tcW w:type="dxa" w:w="2880"/>
          </w:tcPr>
          <w:p>
            <w:r>
              <w:t>Paralegal</w:t>
            </w:r>
          </w:p>
        </w:tc>
        <w:tc>
          <w:tcPr>
            <w:tcW w:type="dxa" w:w="2880"/>
          </w:tcPr>
          <w:p>
            <w:r>
              <w:t>$295 per hour</w:t>
            </w:r>
          </w:p>
        </w:tc>
      </w:tr>
      <w:tr>
        <w:tc>
          <w:tcPr>
            <w:tcW w:type="dxa" w:w="2880"/>
          </w:tcPr>
          <w:p>
            <w:r>
              <w:t>Callum Reyes</w:t>
            </w:r>
          </w:p>
        </w:tc>
        <w:tc>
          <w:tcPr>
            <w:tcW w:type="dxa" w:w="2880"/>
          </w:tcPr>
          <w:p>
            <w:r>
              <w:t>Barrister (briefed separately)</w:t>
            </w:r>
          </w:p>
        </w:tc>
        <w:tc>
          <w:tcPr>
            <w:tcW w:type="dxa" w:w="2880"/>
          </w:tcPr>
          <w:p>
            <w:r>
              <w:t>$4,200 per hearing day</w:t>
            </w:r>
          </w:p>
        </w:tc>
      </w:tr>
    </w:tbl>
    <w:p/>
    <w:p>
      <w:pPr>
        <w:pStyle w:val="Heading2"/>
      </w:pPr>
      <w:r>
        <w:t>Estimates</w:t>
      </w:r>
    </w:p>
    <w:p>
      <w:r>
        <w:t>Stage 1, from instructions to the end of an interim hearing: $18,500 to $22,000 plus GST. Stage 2, from the interim hearing to the end of a three-day final hearing: $52,000 to $68,000 plus GST. These are estimates only and will change if the other party is uncooperative or new issues arise.</w:t>
      </w:r>
    </w:p>
    <w:p>
      <w:pPr>
        <w:pStyle w:val="Heading2"/>
      </w:pPr>
      <w:r>
        <w:t>Retainer and billing</w:t>
      </w:r>
    </w:p>
    <w:p>
      <w:r>
        <w:t>A retainer of $7,500 was paid on 2 April 2026 and will be held in the firm's trust account and applied against invoices. Invoices are issued monthly and are payable within 14 days. If the retainer is exhausted the firm may request a further deposit.</w:t>
      </w:r>
    </w:p>
    <w:p>
      <w:r>
        <w:t>Signed by Adaeze Okafor and Fiona Brennan-Hale on 2 April 2026. The client acknowledges receiving the Victorian Legal Services Board information sheet and being told of her right to negotiate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