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Affidavit of Adaeze Nneka Okafor</w:t>
      </w:r>
    </w:p>
    <w:p>
      <w:r>
        <w:t>Federal Circuit and Family Court of Australia (Division 2), file number MLC1184/2026. Affirmed 27 May 2026.</w:t>
      </w:r>
    </w:p>
    <w:p>
      <w:r>
        <w:t>I, Adaeze Nneka Okafor, registered nurse, of 5/12 Hargreaves Street, Bendigo VIC 3550, affirm:</w:t>
      </w:r>
    </w:p>
    <w:p>
      <w:r>
        <w:t>1. I am the Applicant. I was born on 3 May 1987. I work at Loddon Valley Hospital on Monday to Thursday and earn $98,400 gross per year.</w:t>
      </w:r>
    </w:p>
    <w:p>
      <w:r>
        <w:t>2. I married Trung Nguyen on 9 March 2013 and we separated on 18 June 2025. We have two children, Zara (born 14 February 2016) and Lachlan (born 2 September 2018). Both attend Strathfern Primary School in Bendigo.</w:t>
      </w:r>
    </w:p>
    <w:p>
      <w:r>
        <w:t>10. Since 1 August 2025 the children have lived with me at Hargreaves Street and have spent most weekends with Trung at 27 Banksia Court. Trung's mother, Lan Nguyen, helps with school pick-ups on some weekdays.</w:t>
      </w:r>
    </w:p>
    <w:p>
      <w:r>
        <w:t>14. On 3 June 2025 Trung threw a ceramic mug against the kitchen wall during an argument about money. I did not feel safe. Zara was in the room. I did not call the police.</w:t>
      </w:r>
    </w:p>
    <w:p>
      <w:r>
        <w:t>17. Trung was late collecting the children on 11 April 2026 (by about 45 minutes), on 25 April 2026 (by about 40 minutes) and on 9 May 2026 (by about 50 minutes). The children waited with me or at the school gate.</w:t>
      </w:r>
    </w:p>
    <w:p>
      <w:r>
        <w:t>21. I want to move to Brisbane because my parents, Ngozi and Emeka Okafor, live there and can help with before and after school care, and because senior nursing roles are more available there. I propose that Trung have the children for half of every school holiday.</w:t>
      </w:r>
    </w:p>
    <w:p>
      <w:r>
        <w:t>24. The Nguyen Family Trust owns a rental unit in Castlemaine. I am named as a general beneficiary of the trust but have never received a distribution.</w:t>
      </w:r>
    </w:p>
    <w:p>
      <w:r>
        <w:t>Affirmed by Adaeze Nneka Okafor on 27 May 2026 before Fiona Brennan-Hale, Australian legal practitioner.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