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Nguyen Family Trust - Summary of Trust Deed and Assets</w:t>
      </w:r>
    </w:p>
    <w:p>
      <w:r>
        <w:t>Prepared for Harcourt Dunne Family Lawyers from documents produced by Castellan &amp; Pryce Lawyers. Date of summary: 14 July 2026.</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Date settled</w:t>
            </w:r>
          </w:p>
        </w:tc>
        <w:tc>
          <w:tcPr>
            <w:tcW w:type="dxa" w:w="4320"/>
          </w:tcPr>
          <w:p>
            <w:r>
              <w:t>12 May 2019</w:t>
            </w:r>
          </w:p>
        </w:tc>
      </w:tr>
      <w:tr>
        <w:tc>
          <w:tcPr>
            <w:tcW w:type="dxa" w:w="4320"/>
          </w:tcPr>
          <w:p>
            <w:r>
              <w:t>Trustee</w:t>
            </w:r>
          </w:p>
        </w:tc>
        <w:tc>
          <w:tcPr>
            <w:tcW w:type="dxa" w:w="4320"/>
          </w:tcPr>
          <w:p>
            <w:r>
              <w:t>Nguyen Holdings Pty Ltd (ACN 640 000 118); Trung Nguyen is the sole director</w:t>
            </w:r>
          </w:p>
        </w:tc>
      </w:tr>
      <w:tr>
        <w:tc>
          <w:tcPr>
            <w:tcW w:type="dxa" w:w="4320"/>
          </w:tcPr>
          <w:p>
            <w:r>
              <w:t>Appointor</w:t>
            </w:r>
          </w:p>
        </w:tc>
        <w:tc>
          <w:tcPr>
            <w:tcW w:type="dxa" w:w="4320"/>
          </w:tcPr>
          <w:p>
            <w:r>
              <w:t>Trung Nguyen</w:t>
            </w:r>
          </w:p>
        </w:tc>
      </w:tr>
      <w:tr>
        <w:tc>
          <w:tcPr>
            <w:tcW w:type="dxa" w:w="4320"/>
          </w:tcPr>
          <w:p>
            <w:r>
              <w:t>General beneficiaries</w:t>
            </w:r>
          </w:p>
        </w:tc>
        <w:tc>
          <w:tcPr>
            <w:tcW w:type="dxa" w:w="4320"/>
          </w:tcPr>
          <w:p>
            <w:r>
              <w:t>Trung Nguyen, Adaeze Okafor, Zara Okafor-Nguyen, Lachlan Okafor-Nguyen and Nguyen Constructions Pty Ltd</w:t>
            </w:r>
          </w:p>
        </w:tc>
      </w:tr>
      <w:tr>
        <w:tc>
          <w:tcPr>
            <w:tcW w:type="dxa" w:w="4320"/>
          </w:tcPr>
          <w:p>
            <w:r>
              <w:t>Principal asset</w:t>
            </w:r>
          </w:p>
        </w:tc>
        <w:tc>
          <w:tcPr>
            <w:tcW w:type="dxa" w:w="4320"/>
          </w:tcPr>
          <w:p>
            <w:r>
              <w:t>Unit 3/45 Eucalypt Street, Castlemaine VIC 3450</w:t>
            </w:r>
          </w:p>
        </w:tc>
      </w:tr>
      <w:tr>
        <w:tc>
          <w:tcPr>
            <w:tcW w:type="dxa" w:w="4320"/>
          </w:tcPr>
          <w:p>
            <w:r>
              <w:t>Estimated value</w:t>
            </w:r>
          </w:p>
        </w:tc>
        <w:tc>
          <w:tcPr>
            <w:tcW w:type="dxa" w:w="4320"/>
          </w:tcPr>
          <w:p>
            <w:r>
              <w:t>$385,000 (desktop estimate dated 10 July 2026)</w:t>
            </w:r>
          </w:p>
        </w:tc>
      </w:tr>
      <w:tr>
        <w:tc>
          <w:tcPr>
            <w:tcW w:type="dxa" w:w="4320"/>
          </w:tcPr>
          <w:p>
            <w:r>
              <w:t>Loan</w:t>
            </w:r>
          </w:p>
        </w:tc>
        <w:tc>
          <w:tcPr>
            <w:tcW w:type="dxa" w:w="4320"/>
          </w:tcPr>
          <w:p>
            <w:r>
              <w:t>$142,300 with Murray Valley Bank</w:t>
            </w:r>
          </w:p>
        </w:tc>
      </w:tr>
      <w:tr>
        <w:tc>
          <w:tcPr>
            <w:tcW w:type="dxa" w:w="4320"/>
          </w:tcPr>
          <w:p>
            <w:r>
              <w:t>Rent</w:t>
            </w:r>
          </w:p>
        </w:tc>
        <w:tc>
          <w:tcPr>
            <w:tcW w:type="dxa" w:w="4320"/>
          </w:tcPr>
          <w:p>
            <w:r>
              <w:t>$390 per week</w:t>
            </w:r>
          </w:p>
        </w:tc>
      </w:tr>
    </w:tbl>
    <w:p/>
    <w:p>
      <w:r>
        <w:t>The trustee has an unfettered discretion to distribute income and capital. Distributions for the 2025 financial year totalled $18,000, all paid to Mr Nguyen. No distribution has ever been made to Ms Okafor or the children.</w:t>
      </w:r>
    </w:p>
    <w:p>
      <w:r>
        <w:t>The deed permits the appointor to remove and replace the trustee at any time. The vesting date is 12 May 2099 or such earlier date as the trustee decides. In our view the appointor's control makes the trust property relevant to the court's assessment of the pool, and we will ask that it be treated as the Respondent's financial resource.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