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Report</w:t>
      </w:r>
    </w:p>
    <w:p>
      <w:r>
        <w:t>Federal Circuit and Family Court of Australia, file number MLC1184/2026. Author: Dr Helena Voss, psychologist. Date of report: 12 August 2026. Ordered at the hearing of 5 June 2026.</w:t>
      </w:r>
    </w:p>
    <w:p>
      <w:pPr>
        <w:pStyle w:val="Heading2"/>
      </w:pPr>
      <w:r>
        <w:t>Process</w:t>
      </w:r>
    </w:p>
    <w:p>
      <w:r>
        <w:t>Dr Voss interviewed Adaeze Okafor on 8 July 2026 and Trung Nguyen on 9 July 2026. She observed each parent with both children on 15 July 2026 and spoke with Zara and Lachlan individually. She reviewed the court file and the letter of Dr Imogen Prasad.</w:t>
      </w:r>
    </w:p>
    <w:p>
      <w:pPr>
        <w:pStyle w:val="Heading2"/>
      </w:pPr>
      <w:r>
        <w:t>Observations</w:t>
      </w:r>
    </w:p>
    <w:p>
      <w:r>
        <w:t>Zara (10) is articulate and settled. She said, "I don't want to move to Brisbane, I have my swimming and my friends." She loves her grandparents in Queensland but does not want to live there. Lachlan (7) is closely attached to his mother and talks warmly about his father's dog, a beagle named Biscuit. Both children are comfortable in each home.</w:t>
      </w:r>
    </w:p>
    <w:p>
      <w:r>
        <w:t>Ms Okafor is the children's primary carer and is attuned to Lachlan's asthma. Mr Nguyen is warm and practical, but has been inconsistent in routine. Neither parent presents a safety risk to the children. The mug incident of 3 June 2025 was described differently by each parent and is not a feature of the children's accounts.</w:t>
      </w:r>
    </w:p>
    <w:p>
      <w:pPr>
        <w:pStyle w:val="Heading2"/>
      </w:pPr>
      <w:r>
        <w:t>Recommendations</w:t>
      </w:r>
    </w:p>
    <w:p>
      <w:r>
        <w:t>1. The children should live primarily with their mother. 2. The children should remain living in Bendigo until at least the end of the 2027 school year, when Zara will complete Year 5. 3. The father should spend time with the children on alternate weekends from Friday after school to Sunday, every Wednesday after school until 7:00pm, and half of school holidays. 4. The question of relocation to Brisbane should be revisited after December 2027 with Zara's wishes given more weight.</w:t>
      </w:r>
    </w:p>
    <w:p>
      <w:r>
        <w:t>Signed: Dr Helena Voss, 12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