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Sallis Children's Law</w:t>
      </w:r>
    </w:p>
    <w:p>
      <w:r>
        <w:t>Level 2, 14 Rowan Place, Melbourne VIC 3000. Our reference: SCL-0412. 3 September 2026.</w:t>
      </w:r>
    </w:p>
    <w:p>
      <w:r>
        <w:t>Fiona Brennan-Hale, Harcourt Dunne Family Lawyers; Declan Pryce, Castellan &amp; Pryce Lawyers.</w:t>
      </w:r>
    </w:p>
    <w:p>
      <w:r>
        <w:t>Dear colleagues, Re: Okafor &amp; Nguyen - MLC1184/2026 - Zara (10) and Lachlan (8)</w:t>
      </w:r>
    </w:p>
    <w:p>
      <w:r>
        <w:t>I act as Independent Children's Lawyer for Zara and Lachlan, having been appointed at the hearing on 5 June 2026. I met the children together on 28 August 2026 at my office.</w:t>
      </w:r>
    </w:p>
    <w:p>
      <w:r>
        <w:t>My preliminary position, which is not binding on the children, is that I support the recommendations in Dr Voss's family report of 12 August 2026. In particular, I do not support a move to Brisbane before the end of the 2027 school year. I am open to a staged relocation if the Father's time is protected, in particular school holidays and one long weekend each term.</w:t>
      </w:r>
    </w:p>
    <w:p>
      <w:r>
        <w:t>I ask each party to provide the following by 17 September 2026: (a) any proposed consent orders; (b) details of the schools proposed in Brisbane for Zara and Lachlan, including the school enrolment status; and (c) confirmation of who will pay the children's airfares if they live in Queensland.</w:t>
      </w:r>
    </w:p>
    <w:p>
      <w:r>
        <w:t>Lachlan turned eight on 2 September 2026. He told me that he wants "both houses to have a puffer". I propose that a spare reliever inhaler be kept at each parent's home.</w:t>
      </w:r>
    </w:p>
    <w:p>
      <w:r>
        <w:t>Yours faithfully, Marguerite Sallis, Independent Children's Lawyer.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