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Statement of Adaeze Okafor (Form 13 summary)</w:t>
      </w:r>
    </w:p>
    <w:p>
      <w:r>
        <w:t>File number MLC1184/2026. Prepared 8 September 2026 in compliance with Order 6 of the interim orders of 26 August 2026.</w:t>
      </w:r>
    </w:p>
    <w:p>
      <w:pPr>
        <w:pStyle w:val="Heading2"/>
      </w:pPr>
      <w:r>
        <w:t>Income and work</w:t>
      </w:r>
    </w:p>
    <w:p>
      <w:r>
        <w:t>Gross income $98,400 per year from Loddon Valley Hospital. Since 3 August 2026 I have worked Tuesday to Friday, 6:45am to 3:15pm, having previously worked Monday to Thursday. Weekly rent at 5/12 Hargreaves Street, Bendigo is $460.</w:t>
      </w:r>
    </w:p>
    <w:p>
      <w:pPr>
        <w:pStyle w:val="Heading2"/>
      </w:pPr>
      <w:r>
        <w:t>Assets and liabilities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27 Banksia Court, Bendigo (joint)</w:t>
            </w:r>
          </w:p>
        </w:tc>
        <w:tc>
          <w:tcPr>
            <w:tcW w:type="dxa" w:w="2880"/>
          </w:tcPr>
          <w:p>
            <w:r>
              <w:t>$742,000</w:t>
            </w:r>
          </w:p>
        </w:tc>
        <w:tc>
          <w:tcPr>
            <w:tcW w:type="dxa" w:w="2880"/>
          </w:tcPr>
          <w:p>
            <w:r>
              <w:t>Valuation GV-26-0614, 4 June 2026</w:t>
            </w:r>
          </w:p>
        </w:tc>
      </w:tr>
      <w:tr>
        <w:tc>
          <w:tcPr>
            <w:tcW w:type="dxa" w:w="2880"/>
          </w:tcPr>
          <w:p>
            <w:r>
              <w:t>Murray Valley Bank home loan (joint)</w:t>
            </w:r>
          </w:p>
        </w:tc>
        <w:tc>
          <w:tcPr>
            <w:tcW w:type="dxa" w:w="2880"/>
          </w:tcPr>
          <w:p>
            <w:r>
              <w:t>-$318,450.22</w:t>
            </w:r>
          </w:p>
        </w:tc>
        <w:tc>
          <w:tcPr>
            <w:tcW w:type="dxa" w:w="2880"/>
          </w:tcPr>
          <w:p>
            <w:r>
              <w:t>Balance at 30 June 2026</w:t>
            </w:r>
          </w:p>
        </w:tc>
      </w:tr>
      <w:tr>
        <w:tc>
          <w:tcPr>
            <w:tcW w:type="dxa" w:w="2880"/>
          </w:tcPr>
          <w:p>
            <w:r>
              <w:t>Net equity in home</w:t>
            </w:r>
          </w:p>
        </w:tc>
        <w:tc>
          <w:tcPr>
            <w:tcW w:type="dxa" w:w="2880"/>
          </w:tcPr>
          <w:p>
            <w:r>
              <w:t>$423,549.78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2020 Mazda CX-5 (Applicant)</w:t>
            </w:r>
          </w:p>
        </w:tc>
        <w:tc>
          <w:tcPr>
            <w:tcW w:type="dxa" w:w="2880"/>
          </w:tcPr>
          <w:p>
            <w:r>
              <w:t>$24,500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2019 Ford Ranger ute (Respondent)</w:t>
            </w:r>
          </w:p>
        </w:tc>
        <w:tc>
          <w:tcPr>
            <w:tcW w:type="dxa" w:w="2880"/>
          </w:tcPr>
          <w:p>
            <w:r>
              <w:t>$38,000</w:t>
            </w:r>
          </w:p>
        </w:tc>
        <w:tc>
          <w:tcPr>
            <w:tcW w:type="dxa" w:w="2880"/>
          </w:tcPr>
          <w:p>
            <w:r>
              <w:t>Estimate</w:t>
            </w:r>
          </w:p>
        </w:tc>
      </w:tr>
      <w:tr>
        <w:tc>
          <w:tcPr>
            <w:tcW w:type="dxa" w:w="2880"/>
          </w:tcPr>
          <w:p>
            <w:r>
              <w:t>Joint Murray Valley Bank account</w:t>
            </w:r>
          </w:p>
        </w:tc>
        <w:tc>
          <w:tcPr>
            <w:tcW w:type="dxa" w:w="2880"/>
          </w:tcPr>
          <w:p>
            <w:r>
              <w:t>$9,870.15</w:t>
            </w:r>
          </w:p>
        </w:tc>
        <w:tc>
          <w:tcPr>
            <w:tcW w:type="dxa" w:w="2880"/>
          </w:tcPr>
          <w:p>
            <w:r>
              <w:t>Balance at 31 August 2026</w:t>
            </w:r>
          </w:p>
        </w:tc>
      </w:tr>
      <w:tr>
        <w:tc>
          <w:tcPr>
            <w:tcW w:type="dxa" w:w="2880"/>
          </w:tcPr>
          <w:p>
            <w:r>
              <w:t>Southern Cross Super (Applicant)</w:t>
            </w:r>
          </w:p>
        </w:tc>
        <w:tc>
          <w:tcPr>
            <w:tcW w:type="dxa" w:w="2880"/>
          </w:tcPr>
          <w:p>
            <w:r>
              <w:t>$168,240.33</w:t>
            </w:r>
          </w:p>
        </w:tc>
        <w:tc>
          <w:tcPr>
            <w:tcW w:type="dxa" w:w="2880"/>
          </w:tcPr>
          <w:p>
            <w:r>
              <w:t>At 30 June 2026</w:t>
            </w:r>
          </w:p>
        </w:tc>
      </w:tr>
      <w:tr>
        <w:tc>
          <w:tcPr>
            <w:tcW w:type="dxa" w:w="2880"/>
          </w:tcPr>
          <w:p>
            <w:r>
              <w:t>Nguyen Constructions Pty Ltd (Respondent)</w:t>
            </w:r>
          </w:p>
        </w:tc>
        <w:tc>
          <w:tcPr>
            <w:tcW w:type="dxa" w:w="2880"/>
          </w:tcPr>
          <w:p>
            <w:r>
              <w:t>$410,000</w:t>
            </w:r>
          </w:p>
        </w:tc>
        <w:tc>
          <w:tcPr>
            <w:tcW w:type="dxa" w:w="2880"/>
          </w:tcPr>
          <w:p>
            <w:r>
              <w:t>Report FC-2026-211</w:t>
            </w:r>
          </w:p>
        </w:tc>
      </w:tr>
      <w:tr>
        <w:tc>
          <w:tcPr>
            <w:tcW w:type="dxa" w:w="2880"/>
          </w:tcPr>
          <w:p>
            <w:r>
              <w:t>Unit 3/45 Eucalypt Street, Castlemaine (Nguyen Family Trust)</w:t>
            </w:r>
          </w:p>
        </w:tc>
        <w:tc>
          <w:tcPr>
            <w:tcW w:type="dxa" w:w="2880"/>
          </w:tcPr>
          <w:p>
            <w:r>
              <w:t>$385,000</w:t>
            </w:r>
          </w:p>
        </w:tc>
        <w:tc>
          <w:tcPr>
            <w:tcW w:type="dxa" w:w="2880"/>
          </w:tcPr>
          <w:p>
            <w:r>
              <w:t>Net of loan of $142,300 held by the trust</w:t>
            </w:r>
          </w:p>
        </w:tc>
      </w:tr>
      <w:tr>
        <w:tc>
          <w:tcPr>
            <w:tcW w:type="dxa" w:w="2880"/>
          </w:tcPr>
          <w:p>
            <w:r>
              <w:t>Credit card (Applicant)</w:t>
            </w:r>
          </w:p>
        </w:tc>
        <w:tc>
          <w:tcPr>
            <w:tcW w:type="dxa" w:w="2880"/>
          </w:tcPr>
          <w:p>
            <w:r>
              <w:t>-$2,115.60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Superannuation of the Respondent: BuildersUnion Super $311,905.60 at 30 June 2026. The trust asset is held by Nguyen Holdings Pty Ltd as trustee and I have not attributed any value to my beneficial interest.</w:t>
      </w:r>
    </w:p>
    <w:p>
      <w:r>
        <w:t>Contributions: I was the primary carer of the children throughout the marriage, worked part-time from 2016 to 2019, and contributed my salary to the home loan, which has been repaid from the joint account at $2,610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