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Consent Orders - Version 1 - 14 September 2026</w:t>
      </w:r>
    </w:p>
    <w:p>
      <w:r>
        <w:t>File number MLC1184/2026. Applicant: Adaeze Nneka Okafor. Respondent: Trung Nguyen. Prepared by Harcourt Dunne Family Lawyers. Not signed; subject to client instructions and the position of the Independent Children's Lawyer.</w:t>
      </w:r>
    </w:p>
    <w:p>
      <w:r>
        <w:t>BY CONSENT THE COURT ORDERS THAT:</w:t>
      </w:r>
    </w:p>
    <w:p>
      <w:r>
        <w:t>1. The Mother and the Father have equal shared parental responsibility for Zara and Lachlan.</w:t>
      </w:r>
    </w:p>
    <w:p>
      <w:r>
        <w:t>2. The children live with the Mother.</w:t>
      </w:r>
    </w:p>
    <w:p>
      <w:r>
        <w:t>3. The Father spend time with the children on alternate weekends from after school on Friday until 5:00pm on Sunday, every Wednesday from after school until 7:00pm, and half of each school holiday period.</w:t>
      </w:r>
    </w:p>
    <w:p>
      <w:r>
        <w:t>4. The Mother may relocate the residence of the children to Brisbane, Queensland on or after 1 February 2027.</w:t>
      </w:r>
    </w:p>
    <w:p>
      <w:r>
        <w:t>5. Following relocation the Mother shall pay for two return flights per year between Brisbane and Melbourne for the children to spend time with the Father.</w:t>
      </w:r>
    </w:p>
    <w:p>
      <w:r>
        <w:t>6. The property at 27 Banksia Court, Bendigo be listed for sale with Hartigan &amp; Co Real Estate by 28 February 2027.</w:t>
      </w:r>
    </w:p>
    <w:p>
      <w:r>
        <w:t>7. The net proceeds of sale be divided 65% to the Wife and 35% to the Husband.</w:t>
      </w:r>
    </w:p>
    <w:p>
      <w:r>
        <w:t>8. The Husband retains Nguyen Constructions Pty Ltd, Nguyen Holdings Pty Ltd as trustee of the Nguyen Family Trust, the Castlemaine unit and the 2019 Ford Ranger; the Wife retains the 2020 Mazda CX-5 and the Southern Cross Super account.</w:t>
      </w:r>
    </w:p>
    <w:p>
      <w:r>
        <w:t>9. The Husband shall cause the sum of $40,000 to be transferred from his interest in the BuildersUnion Super account (member number BU 7730915) to the Wife's Southern Cross Super account (member number SCS 0048213) by way of splitting under Part VIIIB of the Act.</w:t>
      </w:r>
    </w:p>
    <w:p>
      <w:r>
        <w:t>10. Each party bears their own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