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Reply Affidavit of Adaeze Nneka Okafor</w:t>
      </w:r>
    </w:p>
    <w:p>
      <w:r>
        <w:t>File number MLC1184/2026. Affirmed 19 September 2026, in reply to the affidavit of Trung Nguyen sworn 10 September 2026.</w:t>
      </w:r>
    </w:p>
    <w:p>
      <w:r>
        <w:t>1. In reply to paragraph 12, I deny that I planned the move in secret. On 20 July 2026 the hospital told me by telephone that an offer would follow. On 22 July 2026 I paid a refundable deposit of $450 in cash to Sunshine Interstate Removals so as to hold a quote. I had not booked a final date. My solicitors disclosed the offer to Mr Pryce on 7 August 2026, and I accepted the offer on 6 August 2026 on the basis that it would be subject to the Court's orders.</w:t>
      </w:r>
    </w:p>
    <w:p>
      <w:r>
        <w:t>2. In reply to paragraph 3, I accept that Trung has changed his hours but I note that the family report says he has been inconsistent in routine. I welcome the change if it is kept.</w:t>
      </w:r>
    </w:p>
    <w:p>
      <w:r>
        <w:t>3. In reply to paragraph 9, I do not accept that the mug slipped. I heard the mug hit the wall and Zara later told me she hid under the dining table. I am not seeking to punish Trung; I raise it because it is relevant to how conflict is handled in front of the children.</w:t>
      </w:r>
    </w:p>
    <w:p>
      <w:r>
        <w:t>4. In reply to paragraph 2, I note that the Respondent's payslips show a pay rise beyond what his Response said, and that a number of transfers from the joint account were made to Nguyen Holdings Pty Ltd between June and August 2026 which I did not agree to.</w:t>
      </w:r>
    </w:p>
    <w:p>
      <w:r>
        <w:t>5. I am prepared to pay for the children's flights to Bendigo as part of any consent orders.</w:t>
      </w:r>
    </w:p>
    <w:p>
      <w:r>
        <w:t>Affirmed by Adaeze Nneka Okafor on 19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