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Conflict Checks Procedure</w:t>
      </w:r>
    </w:p>
    <w:p>
      <w:pPr>
        <w:pStyle w:val="Heading2"/>
      </w:pPr>
      <w:r>
        <w:t>Purpose and when a search is run</w:t>
      </w:r>
    </w:p>
    <w:p>
      <w:r>
        <w:t>This procedure sets out when and how the firm searches for conflicts of interest and what happens when one is found. A conflict search must be run before any matter is opened, before any advice is given to a prospective client beyond the first telephone call, and again within 48 hours of any new party, related entity or witness being identified on an existing file. A new party includes a company, a trust, a trustee, a new partner of a party and a proposed expert. The person who identifies the new party is responsible for asking the practice support team to run the search, and the search must be recorded on the file before any further work is done that involves that party. A matter may not be given a file number until the opening search has been completed and the result noted on the intake form. Searches are run by the practice support team or by the fee earner using the search screen of the practice management system; a search done from memory or by asking around the office does not count. The result of every search, including a clear result, is saved to the file as a dated PDF so that the position can be reconstructed later.</w:t>
      </w:r>
    </w:p>
    <w:p>
      <w:pPr>
        <w:pStyle w:val="Heading2"/>
      </w:pPr>
      <w:r>
        <w:t>What is searched and how names are entered</w:t>
      </w:r>
    </w:p>
    <w:p>
      <w:r>
        <w:t>Every search covers the practice management system (open and closed matters, parties, other parties, related persons and entities), the closed files register and the prospects register, which records people who made an enquiry but did not become clients. Names are searched in full and in every variant that is known: maiden and former names, anglicised or shortened given names, company names with and without the words Pty Ltd, and trusts by both the trust name and the trustee company. Where a party is a company, the search also covers its directors as listed on the register extract obtained at intake. A search that returns a possible match is not a conflict in itself; the fee earner must read the earlier file summary and decide whether the earlier matter concerned the same subject, the same assets or confidential information that could be relevant. A note of that reasoning is kept with the search result. The prospects register is purged of entries older than two years every January by the practice support team.</w:t>
      </w:r>
    </w:p>
    <w:p>
      <w:pPr>
        <w:pStyle w:val="Heading2"/>
      </w:pPr>
      <w:r>
        <w:t>Escalation and decisions</w:t>
      </w:r>
    </w:p>
    <w:p>
      <w:r>
        <w:t>An actual or potential conflict is escalated the same day to the Risk Partner, Nadia Lindqvist, by email with the search result and the fee earner's note attached. The Risk Partner decides within two business days whether the firm may act, may act with an information barrier, or must decline. While the decision is pending no work is done on the matter and no further information is taken from the prospective client beyond what is needed to make the decision. If the firm declines to act the prospective client is told in writing that the firm is unable to act, without giving the reason, and is referred to the Law Institute referral service. A decision to act with an information barrier is recorded in the conflicts register together with the names of the people inside the barrier, and the barrier is reviewed by the Risk Partner every six months while the matter is open. The conflicts register is kept by the Practice Manager and reported to the partners quarterly.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