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Trust Accounting Procedure</w:t>
      </w:r>
    </w:p>
    <w:p>
      <w:pPr>
        <w:pStyle w:val="Heading2"/>
      </w:pPr>
      <w:r>
        <w:t>Receipts into trust</w:t>
      </w:r>
    </w:p>
    <w:p>
      <w:r>
        <w:t>All money received from or on behalf of a client that is not immediately due to the firm must be paid into the firm's trust account on the day it is received, or the next business day if received after the bank's cut-off. The trust account is held with Campaspe Mutual Bank, and no other account may be used for trust money under any circumstances. A trust receipt is issued within two business days of the money being receipted, numbered in the TR series from the practice management system, and sent to the client with a covering note that identifies the matter and the purpose for which the money is held. Cash is not accepted into trust. Money received by electronic transfer is identified by the remitter's reference, and an unidentified deposit is held in a suspense ledger until it is matched; if it cannot be matched within thirty days the Trust Principal decides whether it is returned to the remitting bank. Interest on the trust account is paid to the statutory fund and is never credited to a client ledger.</w:t>
      </w:r>
    </w:p>
    <w:p>
      <w:pPr>
        <w:pStyle w:val="Heading2"/>
      </w:pPr>
      <w:r>
        <w:t>Transfers from trust to the office account</w:t>
      </w:r>
    </w:p>
    <w:p>
      <w:r>
        <w:t>Money may be transferred from trust to the firm's office account only to pay an invoice that has been issued to the client. Three things are required before any transfer: an issued invoice, the client's written authority for the transfer (which may be the authority in the costs agreement or a specific written instruction), and the approval of the Practice Manager, Lucinda Marr, recorded on the transfer request. Where the authority relied on is the general authority in the costs agreement, the client must be given written notice of the proposed transfer and seven days in which to object, unless the costs agreement says otherwise. Transfers are numbered in the TT series and are made only by the Practice Manager or the Trust Principal; fee earners cannot make a transfer. A transfer may never exceed the balance held for that client and may never exceed the amount of the invoice it pays. A partial transfer must be noted against the invoice so that the balance owing by the client is correct in the practice management system.</w:t>
      </w:r>
    </w:p>
    <w:p>
      <w:pPr>
        <w:pStyle w:val="Heading2"/>
      </w:pPr>
      <w:r>
        <w:t>Reconciliation and review</w:t>
      </w:r>
    </w:p>
    <w:p>
      <w:r>
        <w:t>The trust account is reconciled to the bank statement and to the trust ledgers within ten business days after the end of each month. The reconciliation is prepared by the Practice Manager and is signed by the Trust Principal, Gideon Harcourt, who checks the bank balance, the cash book balance and the total of the client ledger balances against each other and investigates any difference before signing. A copy of each signed reconciliation is kept for seven years. Any overdrawn client ledger, however small, is reported to the Trust Principal on the day it is found and corrected from the office account the same day; the cause is recorded in the trust irregularities register. The external examiner is given access to the trust records and the register each year. Fee earners are expected to check the trust balance shown for their matters before asking a client for a further deposit, and to tell the client in writing when a deposit has been applied to an invoice and what balance, if any, remains in trust.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