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Supervision Policy</w:t>
      </w:r>
    </w:p>
    <w:p>
      <w:pPr>
        <w:pStyle w:val="Heading2"/>
      </w:pPr>
      <w:r>
        <w:t>Supervision of paralegals and law graduates</w:t>
      </w:r>
    </w:p>
    <w:p>
      <w:r>
        <w:t>Every paralegal and law graduate is allocated a supervising principal who is responsible for the quality of the work done under that supervision and for the person's development. Paralegals and law graduates do not give legal advice to clients, do not sign letters of advice and do not send correspondence to another party, another party's lawyer or the court without the approval of a principal, which must be given on the draft before it is sent. Telephone calls with another party's lawyer are to be made by a lawyer unless the call is purely administrative, such as confirming a delivery or a date. A paralegal may take instructions from a client on a matter of fact, attend to a client signing a document and explain the mechanics of a court process, but any question about the client's rights, prospects or options is referred to the supervising principal. The supervising principal meets with each paralegal and law graduate weekly for at least thirty minutes to review the work in progress and the matters on which the person is working, and the meeting is noted in the supervision log.</w:t>
      </w:r>
    </w:p>
    <w:p>
      <w:pPr>
        <w:pStyle w:val="Heading2"/>
      </w:pPr>
      <w:r>
        <w:t>File reviews</w:t>
      </w:r>
    </w:p>
    <w:p>
      <w:r>
        <w:t>The supervising principal reviews each file on which a paralegal or law graduate has recorded time at least every six weeks. The review covers the correspondence sent, the time recorded and its narratives, the disbursements incurred, the diary entries and the next steps, and is recorded on form SV-1, which is saved to the file and to the supervision log. A review that finds work below the firm's standard is followed by a meeting with the person concerned within five business days and, where needed, a change to the person's allocation of work. A file that has had no activity for sixty days is flagged by the practice management system for review, and the supervising principal must either record the reason for the inactivity or allocate the next step. The Practice Manager reports each quarter on the number of file reviews completed and overdue, by principal, to the partners. A principal whose reviews are overdue by more than a month is asked to explain the delay at the next partners' meeting.</w:t>
      </w:r>
    </w:p>
    <w:p>
      <w:pPr>
        <w:pStyle w:val="Heading2"/>
      </w:pPr>
      <w:r>
        <w:t>Court documents and filings</w:t>
      </w:r>
    </w:p>
    <w:p>
      <w:r>
        <w:t>No document is filed with a court or served on another party until a principal has reviewed it and recorded that review on the file. This applies to applications, responses, affidavits, financial statements, notices of risk, subpoenas, consent orders and any other document that goes to the court or to another party, whatever its source. The principal checks that the document is in the correct form, that the facts stated are supported by the file, that the client has approved the content and that the document complies with any applicable practice direction. Where a filing deadline is fixed by orders or by a practice direction, the review is scheduled at least two business days before the deadline so that corrections can be made. A paralegal who is asked to file a document without a recorded principal review must decline and raise it with the Practice Manager. The record of the review names the principal, the date and any changes made to the document before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