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Costs Disclosure Procedure</w:t>
      </w:r>
    </w:p>
    <w:p>
      <w:pPr>
        <w:pStyle w:val="Heading2"/>
      </w:pPr>
      <w:r>
        <w:t>Initial disclosure</w:t>
      </w:r>
    </w:p>
    <w:p>
      <w:r>
        <w:t>Before the firm accepts instructions, or as soon as practicable afterwards, the client is given a costs agreement and disclosure in the firm's standard form. The disclosure sets out the basis on which costs are charged, the hourly rates of each person who may work on the matter, an estimate of the total costs for each stage of the matter, the disbursements expected, the billing frequency, the client's rights to negotiate the agreement, to receive an itemised bill and to have the costs assessed, and the firm's trust money arrangements. The estimate must be a range for each stage, given in dollars exclusive of GST, with a short description of what is included in the stage and of the assumptions made. A costs agreement may not be relied on until the client has signed it and the signed copy is saved to the file. For a matter that is urgent the disclosure may be given in a shorter letter at the outset and completed in full within fourteen days, with a note on the file explaining why.</w:t>
      </w:r>
    </w:p>
    <w:p>
      <w:pPr>
        <w:pStyle w:val="Heading2"/>
      </w:pPr>
      <w:r>
        <w:t>Updated estimates</w:t>
      </w:r>
    </w:p>
    <w:p>
      <w:r>
        <w:t>A revised estimate must be given to the client in writing whenever the firm becomes aware that the costs of a stage are likely to exceed the current estimate for that stage by more than 12.5 per cent, and in any event the current estimate for every open matter is reviewed by the responsible lawyer every 120 days and the review is noted on the file. The review compares the time recorded and the disbursements incurred to date with the estimate, considers what remains to be done and whether any event has changed the scope of the work, such as a new listing, a request for further evidence or a change in the position of another party. A revised estimate is given on the Costs Update Letter template (form CU-2), states the reasons for the change, and is sent to the client before any work that would take the costs beyond the earlier estimate is done, unless the work is unavoidable to meet a court deadline, in which case it is sent as soon as possible and the reason for the delay is noted. The revised estimate is recorded against the matter in the practice management system so that the current estimate for each stage can always be found.</w:t>
      </w:r>
    </w:p>
    <w:p>
      <w:pPr>
        <w:pStyle w:val="Heading2"/>
      </w:pPr>
      <w:r>
        <w:t>Invoices and queries</w:t>
      </w:r>
    </w:p>
    <w:p>
      <w:r>
        <w:t>Invoices are issued monthly in arrears, or at the end of a stage, and are accompanied by a statement of the time recorded on request. Each invoice shows professional fees, GST, disbursements, any amount applied from trust and the balance due, and names a due date that is fourteen days after the invoice date unless the costs agreement provides a different period. A query about an invoice is answered within five business days by the responsible lawyer; a dispute about the amount is referred to the Practice Manager, and the client is reminded of the right to have the costs assessed. Where a client asks for time to pay, a payment arrangement may be agreed by the responsible lawyer, recorded against the invoice in the practice management system with the revised due date, and confirmed to the client in writing. Interest is not charged on an overdue invoice unless the costs agreement says so and the client was told in the invoice.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