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Fee Schedule and Charges</w:t>
      </w:r>
    </w:p>
    <w:p>
      <w:pPr>
        <w:pStyle w:val="Heading2"/>
      </w:pPr>
      <w:r>
        <w:t>Professional fees</w:t>
      </w:r>
    </w:p>
    <w:p>
      <w:r>
        <w:t>The firm's professional fees are charged on a time basis at the hourly rates set out in each client's costs agreement; this schedule does not fix those rates, which are agreed matter by matter and reviewed by the partners each financial year. Time is recorded in units of six minutes, and the narrative of each entry must say what was done, for whom and why, in plain words that the client can understand on an itemised statement. Work done outside ordinary business hours at the client's request, or that must be done urgently because of a deadline the client could not reasonably have told the firm about earlier, may be charged with an uplift of 20 per cent on the agreed hourly rate, but only where the costs agreement provides for an uplift and the client is told before the work is done. Travel time is charged at half the agreed hourly rate. A fixed fee may be quoted for discrete work, such as a consent order application or a will, and is set out in the costs agreement for that work.</w:t>
      </w:r>
    </w:p>
    <w:p>
      <w:pPr>
        <w:pStyle w:val="Heading2"/>
      </w:pPr>
      <w:r>
        <w:t>Charges for services and office disbursements</w:t>
      </w:r>
    </w:p>
    <w:p>
      <w:r>
        <w:t>The following charges apply to every matter unless the costs agreement says otherwise. Photocopying and printing is charged at $0.30 per page in black and white and $0.90 per page in colour. Retrieval of a closed file from archive is charged at $85.00 per file, which is the amount the firm's records provider charges the firm. Courier and process-serving fees, search fees, filing fees, transcript fees and the fees of experts and agents are charged at cost, with no margin. Outgoing facsimile and postage are not charged. Secure electronic exchange of documents through the firm's client portal is provided without charge. A client who asks for a second or subsequent itemised statement of the same invoice is charged the time of the person who prepares it at that person's agreed hourly rate. These charges are reviewed each July and any change applies to work done after the client has been told of it.</w:t>
      </w:r>
    </w:p>
    <w:p>
      <w:pPr>
        <w:pStyle w:val="Heading2"/>
      </w:pPr>
      <w:r>
        <w:t>Counsel and experts</w:t>
      </w:r>
    </w:p>
    <w:p>
      <w:r>
        <w:t>Counsel's fees and experts' fees are disbursements and are passed on to the client at cost. Counsel is briefed on the firm's standard brief terms, which require a written fee agreement from counsel setting out the daily rate, any half-day rate and the fee for conferences and advices before the brief is delivered. The responsible lawyer must approve counsel's fee agreement and tell the client the expected fees in writing before counsel does any work. Experts are instructed jointly with the other party where the court's rules require it, and the client's share of a jointly instructed expert's fee is recorded as a disbursement when the fee is paid. Counsel's invoices are paid by the firm and billed to the client on a separate invoice identified as counsel's fees, or applied from trust with the client's authority. The firm does not take any commission or benefit from counsel or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