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Correspondence Standards</w:t>
      </w:r>
    </w:p>
    <w:p>
      <w:pPr>
        <w:pStyle w:val="Heading2"/>
      </w:pPr>
      <w:r>
        <w:t>Turnaround times</w:t>
      </w:r>
    </w:p>
    <w:p>
      <w:r>
        <w:t>A letter or email from another party's lawyer, from the court or from a client is acknowledged on the day it is received or the next business day, and is answered in substance within three business days unless the answer depends on instructions or on information that the firm is waiting for, in which case the sender is told when an answer can be expected. Emails from clients are acknowledged within one business day. Where the responsible lawyer is away, the supervising principal or the lawyer covering the file answers within the same times. Incoming correspondence is saved to the file on the day it is received and the diary is updated with any date it contains. Outgoing correspondence that proposes or accepts a deadline is diarised when it is sent. Every item of correspondence carries the firm's reference and the other party's reference, the matter name and, for court matters, the file number.</w:t>
      </w:r>
    </w:p>
    <w:p>
      <w:pPr>
        <w:pStyle w:val="Heading2"/>
      </w:pPr>
      <w:r>
        <w:t>Approval of letters</w:t>
      </w:r>
    </w:p>
    <w:p>
      <w:r>
        <w:t>A letter of demand, a letter that makes or responds to an offer of settlement, a letter that gives notice of an intention to apply to the court for costs, and any letter to a regulator or to the media must be approved by the Risk Partner before it is sent, and the approval is noted on the file. All other letters to another party or another party's lawyer are approved by a principal. A letter is not sent on the firm's letterhead from a personal email account, and no client matter is discussed over text message except to confirm a time or a place. Where the other party is self-represented, every communication with that person is in writing, is courteous, explains that the firm acts for its client only and cannot advise them, and suggests that they obtain independent legal advice. Telephone calls from a self-represented party are noted on the file on the day they are received.</w:t>
      </w:r>
    </w:p>
    <w:p>
      <w:pPr>
        <w:pStyle w:val="Heading2"/>
      </w:pPr>
      <w:r>
        <w:t>Form and tone</w:t>
      </w:r>
    </w:p>
    <w:p>
      <w:r>
        <w:t>Letters are written in plain English, in short paragraphs and without legal jargon where a plain word will do. The purpose of the letter is stated in the first paragraph and anything the recipient is asked to do, with a date, is stated in the last. Letters to clients explain the next step and what it will cost in time and money. Letters to another party's lawyer are courteous and are confined to the matter in hand; they do not characterise the other party's conduct beyond what is needed. Without prejudice correspondence is marked as such in the heading and is saved to the file in a separate folder so that it is not inadvertently included in a court book. Every letter is proofread by a person other than the author before it is sent, and the name of the proofreader is noted on the file copy. A letter that is sent without proofreading because of urgency is read by a principal the same day and any error is corrected by a further 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