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Relocation Matters Policy</w:t>
      </w:r>
    </w:p>
    <w:p>
      <w:pPr>
        <w:pStyle w:val="Heading2"/>
      </w:pPr>
      <w:r>
        <w:t>Scope and the relocation checklist</w:t>
      </w:r>
    </w:p>
    <w:p>
      <w:r>
        <w:t>This policy applies to every matter in which the firm's client proposes to move the residence of a child interstate or overseas, or opposes such a move by the other parent, whether by agreement, by application for parenting orders or in a response. Relocation matters are flagged in the practice management system with the matter attribute Relocation so that they can be reported on, and are allocated only to a principal or to a senior lawyer under a principal's supervision. Before any application that seeks or opposes relocation is filed, the relocation checklist, form HD-R1, must be completed and signed by both the supervising principal and briefed counsel. The checklist records the proposed move, the client's reasons, the time proposed for the other parent, the evidence to be filed on each issue, the family dispute resolution position and counsel's view of the prospects. A completed and signed HD-R1 is saved to the file before the application is filed, and the filing is not approved under the Supervision Policy without it.</w:t>
      </w:r>
    </w:p>
    <w:p>
      <w:pPr>
        <w:pStyle w:val="Heading2"/>
      </w:pPr>
      <w:r>
        <w:t>Evidence and the Relocation Proposal Summary</w:t>
      </w:r>
    </w:p>
    <w:p>
      <w:r>
        <w:t>The client's affidavit in a relocation matter must be accompanied by a Relocation Proposal Summary, form RPS-1, prepared by the firm with the client. The summary sets out in no more than four pages the proposed location and housing, the schooling and health care arrangements for each child, the client's employment and income at the new location, the proposed time and communication with the other parent, who will pay the costs of travel, and the proposed arrangements if the court does not permit the move. The summary is updated whenever the proposal changes and the current version is filed with any further affidavit. The firm's experience is that a proposal that is specific about schools, housing and travel is given more weight than a general intention to move, and that the court expects the client to have a considered position on how the children's relationship with the other parent will be maintained. Counsel reviews the summary before it is filed.</w:t>
      </w:r>
    </w:p>
    <w:p>
      <w:pPr>
        <w:pStyle w:val="Heading2"/>
      </w:pPr>
      <w:r>
        <w:t>Advice to the client</w:t>
      </w:r>
    </w:p>
    <w:p>
      <w:r>
        <w:t>The client is advised in writing, at the outset and again after the family report is received, about the matters the court considers in a relocation case, the likelihood that the court will keep the current arrangements in place until a final hearing, the significance of the children's views and the family report, and the cost and time of a contested final hearing. The client is told not to make or pay for arrangements that assume the move will be permitted, such as leases, school enrolments or removalists, without first discussing them with the firm, because such steps are routinely raised by the other party as evidence of a fixed intention. Any offer of employment at the proposed location is disclosed to the other party promptly after the client has decided to pursue it. The advice is recorded on the file and the client's acknowledgement of it is kept. The advice is repeated whenever the client's proposal changes in a way that affects the prospects of the application.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