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Client Identification Policy</w:t>
      </w:r>
    </w:p>
    <w:p>
      <w:pPr>
        <w:pStyle w:val="Heading2"/>
      </w:pPr>
      <w:r>
        <w:t>When identity is verified</w:t>
      </w:r>
    </w:p>
    <w:p>
      <w:r>
        <w:t>The identity of every client who is an individual is verified before the firm accepts instructions and, in every case, before any money is received into trust from or for that client. For a company client the firm obtains a current register extract and verifies the identity of the person giving instructions and that person's authority to do so. Verification is repeated whenever the firm has reason to doubt an earlier verification, such as a change of name, a significantly changed appearance or instructions received from a new address or email account that the client has not previously confirmed, and in any event every three years for a client with a continuing retainer. Where a client cannot attend in person, verification may be done by video call with the documents held to the camera and copies sent in advance, and the method used is recorded. The person who verifies identity must be an employee of the firm; verification by an agent is not accepted under this policy.</w:t>
      </w:r>
    </w:p>
    <w:p>
      <w:pPr>
        <w:pStyle w:val="Heading2"/>
      </w:pPr>
      <w:r>
        <w:t>Documents required</w:t>
      </w:r>
    </w:p>
    <w:p>
      <w:r>
        <w:t>Two documents are required: one primary photographic identification document, which is a current passport or a current driver licence, and one secondary document, which is a Medicare card, a bank card in the client's name or a utility bill in the client's name less than three months old. The documents are inspected in the original, or by video call as described above, and a copy of each is saved to the file with the date of inspection and the name of the person who inspected them. Where the name on a document differs from the name the client uses, a change of name certificate or marriage certificate is also obtained. A client who cannot produce a primary photographic document is referred to the Practice Manager, who may accept alternative documents on the record of a reason. The firm does not hold identity documents beyond the copies needed for the file.</w:t>
      </w:r>
    </w:p>
    <w:p>
      <w:pPr>
        <w:pStyle w:val="Heading2"/>
      </w:pPr>
      <w:r>
        <w:t>The VOI register</w:t>
      </w:r>
    </w:p>
    <w:p>
      <w:r>
        <w:t>Each verification is recorded on form VOI-1 and entered in the verification of identity register in the practice management system, which records the client, the matter, the documents seen, the date and the person who verified. The register is checked by the Practice Manager each month to confirm that no matter with trust money has a client whose identity is unverified, and the result of the check is reported to the Trust Principal. A verification is valid for three years from the date on the VOI-1 form for the purposes of this policy, after which the client is re-verified before any further trust money is received. Copies of identity documents are destroyed when the file is destroyed under the File Closure Procedure, and the register entry is retained as the record that the verification was done. The Practice Manager reports the result of the monthly check to the partners with the trust reconciliation.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