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File Closure Procedure</w:t>
      </w:r>
    </w:p>
    <w:p>
      <w:pPr>
        <w:pStyle w:val="Heading2"/>
      </w:pPr>
      <w:r>
        <w:t>When a file is closed</w:t>
      </w:r>
    </w:p>
    <w:p>
      <w:r>
        <w:t>A file is closed within 75 days of the final invoice on the matter being paid in full, or within 75 days of the last step in the matter where there is no final invoice, unless the responsible lawyer records a reason for keeping it open, such as orders that have not yet been implemented. The practice management system lists every matter with no time recorded for ninety days and a nil balance owing, and the Practice Manager sends that list to each principal monthly. A matter cannot be closed while any money is held in trust for the client, while any invoice is unpaid, while any undertaking given by the firm remains outstanding, or while any original document belonging to the client remains with the firm. The responsible lawyer confirms each of these on the closure checklist before the Practice Manager closes the matter. A matter closed in error is reopened by the Practice Manager on the written request of the responsible lawyer.</w:t>
      </w:r>
    </w:p>
    <w:p>
      <w:pPr>
        <w:pStyle w:val="Heading2"/>
      </w:pPr>
      <w:r>
        <w:t>The closure checklist</w:t>
      </w:r>
    </w:p>
    <w:p>
      <w:r>
        <w:t>The closure checklist requires: a closing letter to the client that reports the outcome, states that the firm's retainer has ended, lists any dates the client must remember, and says how long the file will be kept and that it will then be destroyed; the return of original documents to the client by registered post or by hand against a receipt, or their safe custody with a safe custody receipt; a nil balance in trust confirmed from the trust ledger; the final invoice paid; counsel's and experts' fees paid; the diary cleared of future dates or those dates transferred to the client in the closing letter; and the matter marked closed in the practice management system with the closure date. The checklist is signed by the responsible lawyer and the Practice Manager and is the last document on the file. The closing letter is sent by email and by post to the client's last confirmed address.</w:t>
      </w:r>
    </w:p>
    <w:p>
      <w:pPr>
        <w:pStyle w:val="Heading2"/>
      </w:pPr>
      <w:r>
        <w:t>Storage, retention and destruction</w:t>
      </w:r>
    </w:p>
    <w:p>
      <w:r>
        <w:t>Closed files are stored with Ironbark Records Management, the firm's records provider, and are retained for seven years from the closure date, after which they are destroyed by the provider under a certificate of destruction that is kept by the Practice Manager. Files relating to a child, to a trust or to an estate are retained for seven years from the date the youngest child reaches eighteen, the trust vests or the estate is finalised, whichever applies, and are flagged accordingly at closure. Electronic documents are retained in the document management system for the same period. A closed file is retrieved from storage only on the request of the responsible lawyer or a principal, and the retrieval charge in the Fee Schedule applies. Original documents in safe custody are not destroyed and are held until the client or the client's estate collects them. The safe custody register is reconciled to the physical packets by the Practice Manager every January.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