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Joint Account Summary - Prepared for Immigration Purposes</w:t>
      </w:r>
    </w:p>
    <w:p>
      <w:r>
        <w:t>Prepared by Raman Migration Advisory from statements supplied by the clients, 1 October 2024</w:t>
      </w:r>
    </w:p>
    <w:p>
      <w:r>
        <w:t>Account</w:t>
        <w:br/>
      </w:r>
      <w:r>
        <w:t>Bank: Harbourline Bank (fictional)</w:t>
        <w:br/>
      </w:r>
      <w:r>
        <w:t>Account name: Mr H Tanaka and Ms E Marsh - Joint Everyday Account</w:t>
        <w:br/>
      </w:r>
      <w:r>
        <w:t>BSB: 012-555</w:t>
        <w:br/>
      </w:r>
      <w:r>
        <w:t>Account number ending: 4471</w:t>
        <w:br/>
      </w:r>
      <w:r>
        <w:t>Date opened: 6 February 2023</w:t>
      </w:r>
    </w:p>
    <w:p>
      <w:r>
        <w:t>Period covered</w:t>
        <w:br/>
      </w:r>
      <w:r>
        <w:t>6 February 2023 to 31 August 2024 (19 months)</w:t>
      </w:r>
    </w:p>
    <w:p>
      <w:r>
        <w:t>Summary of activity</w:t>
        <w:br/>
      </w:r>
      <w:r>
        <w:t>- Total credits: wages from Bellbird Public School (Eleanor) and Kobo Kitchen Pty Ltd (Haruto) paid into the account each fortnight.</w:t>
        <w:br/>
      </w:r>
      <w:r>
        <w:t>- Rent: paid by direct debit to Inner West Property Group. Weekly rent has been 750 dollars a week since the lease renewal on 1 February 2024.</w:t>
        <w:br/>
      </w:r>
      <w:r>
        <w:t>- Utilities: electricity (Sunbright Energy), internet and gas paid from the account.</w:t>
        <w:br/>
      </w:r>
      <w:r>
        <w:t>- Holiday saving: transfers to a Holiday Saver account between August 2023 and January 2024 for the Bali trip.</w:t>
        <w:br/>
      </w:r>
      <w:r>
        <w:t>- Largest single debit: airline tickets for Bali, 14 June 2023.</w:t>
        <w:br/>
      </w:r>
      <w:r>
        <w:t>- Average closing balance across the period: 3,900 dollars (approximate).</w:t>
      </w:r>
    </w:p>
    <w:p>
      <w:r>
        <w:t>Observations</w:t>
        <w:br/>
      </w:r>
      <w:r>
        <w:t>1. The account has been used for shared living expenses consistently since 6 February 2023.</w:t>
        <w:br/>
      </w:r>
      <w:r>
        <w:t>2. No joint financial commitments are shown before 6 February 2023. Before that date, each party kept separate accounts and shared costs informally.</w:t>
        <w:br/>
      </w:r>
      <w:r>
        <w:t>3. A gap in the evidence exists for 17 June 2022 to 5 February 2023. We recommend a covering statement to explain this.</w:t>
      </w:r>
    </w:p>
    <w:p>
      <w:r>
        <w:t>Statements were not altered. The summary has been compared to the bank statements and rounded for readability.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