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File Notes - Haruto Tanaka (Partner visa 820/801)</w:t>
      </w:r>
    </w:p>
    <w:p>
      <w:r>
        <w:t>Raman Migration Advisory - notes by Priya Raman, MARN 9910042</w:t>
      </w:r>
    </w:p>
    <w:p>
      <w:r>
        <w:t>24 September 2024 - First consultation. Client has 485 expiring 8 November 2024. Plan to lodge onshore partner application before then. Risk noted: client says he moved in with sponsor on 1 December 2022 but lease commenced 1 February 2023. Need consistent account from both parties.</w:t>
      </w:r>
    </w:p>
    <w:p>
      <w:r>
        <w:t>2 October 2024 - Costs agreement signed. Deposit AUD 2,000.00 received.</w:t>
      </w:r>
    </w:p>
    <w:p>
      <w:r>
        <w:t>10 October 2024 - Both parties signed statutory declarations before Thomas Hargreaves JP. Noted that the sponsor's declaration says late January 2023 for living together while the applicant's says 1 December 2022. Decided to lodge as drafted because the statements are true to each person's recollection. In hindsight this should have been reconciled in a covering statement.</w:t>
      </w:r>
    </w:p>
    <w:p>
      <w:r>
        <w:t>14 October 2024 - Lodged. Receipt IMM-5550-1014-31. Four declarations in total (two parties, two Form 888). 38 attachments. VAC AUD 8,850.00 paid.</w:t>
      </w:r>
    </w:p>
    <w:p>
      <w:r>
        <w:t>8 November 2024 - 485 ceased. Bridging visa A in effect automatically.</w:t>
      </w:r>
    </w:p>
    <w:p>
      <w:r>
        <w:t>12 December 2024 - s56 received. Errors in the letter: date of application stated as 16 October 2024 (correct 14 October) and passport stated as TR9004172 (correct TR9004127). Response due 9 January 2025.</w:t>
      </w:r>
    </w:p>
    <w:p>
      <w:r>
        <w:t>8 January 2025 - s56 response lodged (receipt IMM-5550-0108-77), one day early. Client and sponsor agreed the explanation: stayed over regularly from 1 December 2022 at Carrington Road, fully moved out of the Newtown share house on 28 January 2023, lease from 1 February 2023.</w:t>
      </w:r>
    </w:p>
    <w:p>
      <w:r>
        <w:t>20 January 2025 - BVB application lodged. Granted 3 February 2025.</w:t>
      </w:r>
    </w:p>
    <w:p>
      <w:r>
        <w:t>3 March 2025 - Chased the Department on delay. 27 June 2025 reply: no timeframe.</w:t>
      </w:r>
    </w:p>
    <w:p>
      <w:r>
        <w:t>18 August 2025 - Change of address notified to the Department (new address Dulwich Hill). Late; the move was 1 August 2025.</w:t>
      </w:r>
    </w:p>
    <w:p>
      <w:r>
        <w:t>12 September 2025 - Refusal received by email. Telephoned client. Initial calculation of review deadline: 9 October 2025.</w:t>
      </w:r>
    </w:p>
    <w:p>
      <w:r>
        <w:t>22 September 2025 - Corrigendum received. Decision date corrected to 12 September 2025, so the deadline is 10 October 2025. Passport corrected. Will still lodge early.</w:t>
      </w:r>
    </w:p>
    <w:p>
      <w:r>
        <w:t>3 October 2025 - Stage 2 addendum signed. 6 October 2025 - ART application lodged, case 2025/07731.</w:t>
      </w:r>
    </w:p>
    <w:p>
      <w:r>
        <w:t>15 November 2025 - Directions received. 20 January 2026 - Amended directions: hearing moved to 19 March 2026. Client statement and witness list due 19 February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