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Chronology - Haruto Tanaka Partner visa matter</w:t>
      </w:r>
    </w:p>
    <w:p>
      <w:r>
        <w:t>Prepared by Raman Migration Advisory on 21 January 2026 (latest dates used where documents differ)</w:t>
      </w:r>
    </w:p>
    <w:p>
      <w:r>
        <w:t>2018</w:t>
        <w:br/>
      </w:r>
      <w:r>
        <w:t>- 3 February 2018: Haruto Tanaka arrives in Australia on a Student visa (subclass 500; granted 12 December 2017).</w:t>
      </w:r>
    </w:p>
    <w:p>
      <w:r>
        <w:t>2022</w:t>
        <w:br/>
      </w:r>
      <w:r>
        <w:t>- 14 February 2022: starts part time work at Kobo Kitchen, Surry Hills.</w:t>
        <w:br/>
      </w:r>
      <w:r>
        <w:t>- 9 April 2022: English test (HEPT), overall 7.5.</w:t>
        <w:br/>
      </w:r>
      <w:r>
        <w:t>- 17 June 2022: meets Eleanor Marsh at Kobo Kitchen.</w:t>
        <w:br/>
      </w:r>
      <w:r>
        <w:t>- 30 June 2022: completes Certificate IV in Commercial Cookery.</w:t>
        <w:br/>
      </w:r>
      <w:r>
        <w:t>- 2 July 2022: relationship begins.</w:t>
        <w:br/>
      </w:r>
      <w:r>
        <w:t>- 15 August 2022: skills assessment outcome, Cook (ANZSCO 351411), suitable.</w:t>
        <w:br/>
      </w:r>
      <w:r>
        <w:t>- 8 November 2022: Temporary Graduate visa subclass 485 granted (application ID EZY0219384).</w:t>
        <w:br/>
      </w:r>
      <w:r>
        <w:t>- 1 December 2022: begins staying regularly at Eleanor's flat at Carrington Road, Marrickville.</w:t>
      </w:r>
    </w:p>
    <w:p>
      <w:r>
        <w:t>2023</w:t>
        <w:br/>
      </w:r>
      <w:r>
        <w:t>- 20 January 2023: lease signed for Unit 5/48 Banksia Street, Marrickville; commences 1 February 2023.</w:t>
        <w:br/>
      </w:r>
      <w:r>
        <w:t>- 6 February 2023: joint account opened at Harbourline Bank.</w:t>
        <w:br/>
      </w:r>
      <w:r>
        <w:t>- 24 December 2023: engagement.</w:t>
      </w:r>
    </w:p>
    <w:p>
      <w:r>
        <w:t>2024</w:t>
        <w:br/>
      </w:r>
      <w:r>
        <w:t>- 24 September 2024: intake; Australian police certificate issued same day.</w:t>
        <w:br/>
      </w:r>
      <w:r>
        <w:t>- 2 October 2024: costs agreement signed.</w:t>
        <w:br/>
      </w:r>
      <w:r>
        <w:t>- 10 to 12 October 2024: statutory declarations and Form 888 declarations signed.</w:t>
        <w:br/>
      </w:r>
      <w:r>
        <w:t>- 14 October 2024: Partner visa 820/801 lodged (application ID EGO0482915).</w:t>
        <w:br/>
      </w:r>
      <w:r>
        <w:t>- 8 November 2024: 485 ceases; Bridging visa A in effect.</w:t>
        <w:br/>
      </w:r>
      <w:r>
        <w:t>- 12 December 2024: s56 request; response due 9 January 2025.</w:t>
      </w:r>
    </w:p>
    <w:p>
      <w:r>
        <w:t>2025</w:t>
        <w:br/>
      </w:r>
      <w:r>
        <w:t>- 8 January 2025: s56 response lodged.</w:t>
        <w:br/>
      </w:r>
      <w:r>
        <w:t>- 3 February 2025: Bridging visa B granted, valid to 3 April 2025.</w:t>
        <w:br/>
      </w:r>
      <w:r>
        <w:t>- 10 to 24 February 2025: trip to Japan with Eleanor.</w:t>
        <w:br/>
      </w:r>
      <w:r>
        <w:t>- 1 August 2025: move to 12 Wattle Grove Road, Dulwich Hill.</w:t>
        <w:br/>
      </w:r>
      <w:r>
        <w:t>- 12 September 2025: refusal (date corrected from 11 September 2025).</w:t>
        <w:br/>
      </w:r>
      <w:r>
        <w:t>- 6 October 2025: ART application lodged (case 2025/07731). Last day to apply was 10 October 2025.</w:t>
      </w:r>
    </w:p>
    <w:p>
      <w:r>
        <w:t>2026</w:t>
        <w:br/>
      </w:r>
      <w:r>
        <w:t>- 20 January 2026: amended directions.</w:t>
        <w:br/>
      </w:r>
      <w:r>
        <w:t>- 19 February 2026: applicant documents and witness list due.</w:t>
        <w:br/>
      </w:r>
      <w:r>
        <w:t>- 19 March 2026: ART hearing, 10:00 am, by video (previously 12 March 2026).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