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drawing>
          <wp:inline distT="0" distB="0" distL="0" distR="0">
            <wp:extent cx="2857500" cy="409575"/>
            <wp:effectExtent t="0" r="0" b="0" l="0"/>
            <wp:docPr id="1" name="wordmark" title="Fac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409575"/>
                    </a:xfrm>
                    <a:prstGeom prst="rect">
                      <a:avLst/>
                    </a:prstGeom>
                  </pic:spPr>
                </pic:pic>
              </a:graphicData>
            </a:graphic>
          </wp:inline>
        </w:drawing>
      </w:r>
    </w:p>
    <w:p>
      <w:pPr>
        <w:spacing w:after="240"/>
      </w:pPr>
      <w:r>
        <w:rPr>
          <w:rFonts w:ascii="Spline Sans Mono" w:cs="Spline Sans Mono" w:eastAsia="Spline Sans Mono" w:hAnsi="Spline Sans Mono"/>
          <w:caps/>
          <w:color w:val="2F8A80"/>
          <w:spacing w:val="24"/>
          <w:sz w:val="16"/>
          <w:szCs w:val="16"/>
        </w:rPr>
        <w:t xml:space="preserve">FIELD NOTE 014  /  CANONICAL REFERENCE</w:t>
      </w:r>
    </w:p>
    <w:p>
      <w:pPr>
        <w:spacing w:after="120"/>
      </w:pPr>
      <w:r>
        <w:rPr>
          <w:rFonts w:ascii="Literata" w:cs="Literata" w:eastAsia="Literata" w:hAnsi="Literata"/>
          <w:color w:val="221C15"/>
          <w:sz w:val="52"/>
          <w:szCs w:val="52"/>
        </w:rPr>
        <w:t xml:space="preserve">Identity as protocol</w:t>
      </w:r>
    </w:p>
    <w:p>
      <w:pPr>
        <w:spacing w:after="240"/>
      </w:pPr>
      <w:r>
        <w:rPr>
          <w:rFonts w:ascii="Literata" w:cs="Literata" w:eastAsia="Literata" w:hAnsi="Literata"/>
          <w:color w:val="3B342B"/>
          <w:sz w:val="24"/>
          <w:szCs w:val="24"/>
        </w:rPr>
        <w:t xml:space="preserve">An open ledger of the decisions that make Facework recognizable, usable, and transmissible.</w:t>
      </w:r>
    </w:p>
    <w:p>
      <w:pPr>
        <w:spacing w:after="60"/>
      </w:pPr>
      <w:r>
        <w:rPr>
          <w:rFonts w:ascii="Spline Sans Mono" w:cs="Spline Sans Mono" w:eastAsia="Spline Sans Mono" w:hAnsi="Spline Sans Mono"/>
          <w:color w:val="7A736A"/>
          <w:spacing w:val="16"/>
          <w:sz w:val="16"/>
          <w:szCs w:val="16"/>
        </w:rPr>
        <w:t xml:space="preserve">STATUS   CANONICAL      VERSION   0.1      DATE   2026-08-10</w:t>
      </w:r>
    </w:p>
    <w:p>
      <w:pPr>
        <w:pBdr>
          <w:bottom w:val="single" w:color="CBC5B9" w:sz="6" w:space="4"/>
        </w:pBdr>
        <w:spacing w:after="240" w:before="120"/>
      </w:pPr>
    </w:p>
    <w:p>
      <w:pPr>
        <w:spacing w:after="80" w:before="200"/>
        <w:jc w:val="center"/>
      </w:pPr>
      <w:r>
        <w:drawing>
          <wp:inline distT="0" distB="0" distL="0" distR="0">
            <wp:extent cx="1428750" cy="1095375"/>
            <wp:effectExtent t="0" r="0" b="0" l="0"/>
            <wp:docPr id="1" name="coherence-mark" title="The Coherence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1095375"/>
                    </a:xfrm>
                    <a:prstGeom prst="rect">
                      <a:avLst/>
                    </a:prstGeom>
                  </pic:spPr>
                </pic:pic>
              </a:graphicData>
            </a:graphic>
          </wp:inline>
        </w:drawing>
      </w:r>
    </w:p>
    <w:p>
      <w:pPr>
        <w:spacing w:after="200"/>
        <w:jc w:val="center"/>
      </w:pPr>
      <w:r>
        <w:rPr>
          <w:rFonts w:ascii="Spline Sans Mono" w:cs="Spline Sans Mono" w:eastAsia="Spline Sans Mono" w:hAnsi="Spline Sans Mono"/>
          <w:color w:val="7A736A"/>
          <w:spacing w:val="16"/>
          <w:sz w:val="16"/>
          <w:szCs w:val="16"/>
        </w:rPr>
        <w:t xml:space="preserve">THE COHERENCE MARK — PAIRED FORCES HELD AROUND AN OPEN CENTER</w:t>
      </w:r>
    </w:p>
    <w:p>
      <w:pPr>
        <w:spacing w:after="120" w:before="520"/>
      </w:pPr>
      <w:r>
        <w:rPr>
          <w:rFonts w:ascii="Spline Sans Mono" w:cs="Spline Sans Mono" w:eastAsia="Spline Sans Mono" w:hAnsi="Spline Sans Mono"/>
          <w:caps/>
          <w:color w:val="2F8A80"/>
          <w:spacing w:val="30"/>
          <w:sz w:val="16"/>
          <w:szCs w:val="16"/>
        </w:rPr>
        <w:t xml:space="preserve">01 / FIELD NOTE 014</w:t>
      </w:r>
    </w:p>
    <w:p>
      <w:pPr>
        <w:pStyle w:val="Heading1"/>
        <w:spacing w:after="180"/>
        <w:outlineLvl w:val="0"/>
      </w:pPr>
      <w:r>
        <w:rPr>
          <w:rFonts w:ascii="Literata" w:cs="Literata" w:eastAsia="Literata" w:hAnsi="Literata"/>
          <w:b w:val="false"/>
          <w:bCs w:val="false"/>
          <w:color w:val="221C15"/>
          <w:sz w:val="40"/>
          <w:szCs w:val="40"/>
        </w:rPr>
        <w:t xml:space="preserve">The identity had to be discovered.</w:t>
      </w:r>
    </w:p>
    <w:p>
      <w:pPr>
        <w:spacing w:after="160" w:line="300"/>
      </w:pPr>
      <w:r>
        <w:rPr>
          <w:rFonts w:ascii="Literata" w:cs="Literata" w:eastAsia="Literata" w:hAnsi="Literata"/>
          <w:color w:val="3B342B"/>
          <w:sz w:val="21"/>
          <w:szCs w:val="21"/>
        </w:rPr>
        <w:t xml:space="preserve">Facework did not need a symbol applied to an idea. It needed a visible behavior that could be traced to the discipline itself.</w:t>
      </w:r>
    </w:p>
    <w:p>
      <w:pPr>
        <w:spacing w:after="160" w:line="300"/>
      </w:pPr>
      <w:r>
        <w:rPr>
          <w:rFonts w:ascii="Literata" w:cs="Literata" w:eastAsia="Literata" w:hAnsi="Literata"/>
          <w:color w:val="3B342B"/>
          <w:sz w:val="21"/>
          <w:szCs w:val="21"/>
        </w:rPr>
        <w:t xml:space="preserve">The program began by recovering the historic butterfly mark as evidence rather than treating it as an untouchable answer. Its bilateral structure, layered forces, and open center were isolated, tested, and rebuilt as the Coherence Mark.</w:t>
      </w:r>
    </w:p>
    <w:p>
      <w:pPr>
        <w:spacing w:after="160" w:line="300"/>
      </w:pPr>
      <w:r>
        <w:rPr>
          <w:rFonts w:ascii="Literata" w:cs="Literata" w:eastAsia="Literata" w:hAnsi="Literata"/>
          <w:color w:val="3B342B"/>
          <w:sz w:val="21"/>
          <w:szCs w:val="21"/>
        </w:rPr>
        <w:t xml:space="preserve">That distinction matters. A logo can be selected because it looks appropriate. A protocol identity must show why its form belongs, how it behaves, and what future practitioners are allowed to change.</w:t>
      </w:r>
    </w:p>
    <w:p>
      <w:pPr>
        <w:pBdr>
          <w:left w:val="single" w:color="2F8A80" w:sz="18" w:space="240"/>
        </w:pBdr>
        <w:spacing w:after="200" w:before="200"/>
        <w:ind w:left="360"/>
      </w:pPr>
      <w:r>
        <w:rPr>
          <w:rFonts w:ascii="Spline Sans Mono" w:cs="Spline Sans Mono" w:eastAsia="Spline Sans Mono" w:hAnsi="Spline Sans Mono"/>
          <w:b/>
          <w:bCs/>
          <w:caps/>
          <w:color w:val="2F8A80"/>
          <w:spacing w:val="20"/>
          <w:sz w:val="16"/>
          <w:szCs w:val="16"/>
        </w:rPr>
        <w:t xml:space="preserve">Governing claim  </w:t>
      </w:r>
      <w:r>
        <w:rPr>
          <w:rFonts w:ascii="Literata" w:cs="Literata" w:eastAsia="Literata" w:hAnsi="Literata"/>
          <w:color w:val="221C15"/>
          <w:sz w:val="21"/>
          <w:szCs w:val="21"/>
        </w:rPr>
        <w:br/>
        <w:t xml:space="preserve">Nothing is designed until it can be derived.</w:t>
      </w:r>
    </w:p>
    <w:p>
      <w:pPr>
        <w:pStyle w:val="Heading2"/>
        <w:spacing w:after="120" w:before="320"/>
        <w:outlineLvl w:val="1"/>
      </w:pPr>
      <w:r>
        <w:rPr>
          <w:rFonts w:ascii="Literata" w:cs="Literata" w:eastAsia="Literata" w:hAnsi="Literata"/>
          <w:b/>
          <w:bCs/>
          <w:color w:val="221C15"/>
          <w:sz w:val="26"/>
          <w:szCs w:val="26"/>
        </w:rPr>
        <w:t xml:space="preserve">What the mark preserves</w:t>
      </w:r>
    </w:p>
    <w:p>
      <w:pPr>
        <w:spacing w:after="160" w:line="300"/>
      </w:pPr>
      <w:r>
        <w:rPr>
          <w:rFonts w:ascii="Literata" w:cs="Literata" w:eastAsia="Literata" w:hAnsi="Literata"/>
          <w:color w:val="3B342B"/>
          <w:sz w:val="21"/>
          <w:szCs w:val="21"/>
        </w:rPr>
        <w:t xml:space="preserve">The Coherence Mark preserves paired forces, controlled tension, open intervals, and a visible change of direction. It removes literal insect behavior and the expectation that coherence means perfect fusion.</w:t>
      </w:r>
    </w:p>
    <w:p>
      <w:pPr>
        <w:spacing w:after="120" w:before="520"/>
      </w:pPr>
      <w:r>
        <w:rPr>
          <w:rFonts w:ascii="Spline Sans Mono" w:cs="Spline Sans Mono" w:eastAsia="Spline Sans Mono" w:hAnsi="Spline Sans Mono"/>
          <w:caps/>
          <w:color w:val="2F8A80"/>
          <w:spacing w:val="30"/>
          <w:sz w:val="16"/>
          <w:szCs w:val="16"/>
        </w:rPr>
        <w:t xml:space="preserve">02 / FIELD NOTE 014</w:t>
      </w:r>
    </w:p>
    <w:p>
      <w:pPr>
        <w:pStyle w:val="Heading1"/>
        <w:spacing w:after="180"/>
        <w:outlineLvl w:val="0"/>
      </w:pPr>
      <w:r>
        <w:rPr>
          <w:rFonts w:ascii="Literata" w:cs="Literata" w:eastAsia="Literata" w:hAnsi="Literata"/>
          <w:b w:val="false"/>
          <w:bCs w:val="false"/>
          <w:color w:val="221C15"/>
          <w:sz w:val="40"/>
          <w:szCs w:val="40"/>
        </w:rPr>
        <w:t xml:space="preserve">The name needed its own behavior.</w:t>
      </w:r>
    </w:p>
    <w:p>
      <w:pPr>
        <w:spacing w:after="160" w:line="300"/>
      </w:pPr>
      <w:r>
        <w:rPr>
          <w:rFonts w:ascii="Literata" w:cs="Literata" w:eastAsia="Literata" w:hAnsi="Literata"/>
          <w:color w:val="3B342B"/>
          <w:sz w:val="21"/>
          <w:szCs w:val="21"/>
        </w:rPr>
        <w:t xml:space="preserve">A distinctive mark cannot compensate for an anonymous or rented wordmark. Register was constructed to make the name an owned artifact.</w:t>
      </w:r>
    </w:p>
    <w:p>
      <w:pPr>
        <w:spacing w:after="160" w:line="300"/>
      </w:pPr>
      <w:r>
        <w:rPr>
          <w:rFonts w:ascii="Literata" w:cs="Literata" w:eastAsia="Literata" w:hAnsi="Literata"/>
          <w:color w:val="3B342B"/>
          <w:sz w:val="21"/>
          <w:szCs w:val="21"/>
        </w:rPr>
        <w:t xml:space="preserve">Register is a custom uppercase construction with no runtime font dependency. The central W changes direction between FACE and WORK, linking identity and practice without inserting the mark into the letters.</w:t>
      </w:r>
    </w:p>
    <w:p>
      <w:pPr>
        <w:pBdr>
          <w:left w:val="single" w:color="2F8A80" w:sz="18" w:space="240"/>
        </w:pBdr>
        <w:spacing w:after="200" w:before="200"/>
        <w:ind w:left="360"/>
      </w:pPr>
      <w:r>
        <w:rPr>
          <w:rFonts w:ascii="Spline Sans Mono" w:cs="Spline Sans Mono" w:eastAsia="Spline Sans Mono" w:hAnsi="Spline Sans Mono"/>
          <w:b/>
          <w:bCs/>
          <w:caps/>
          <w:color w:val="2F8A80"/>
          <w:spacing w:val="20"/>
          <w:sz w:val="16"/>
          <w:szCs w:val="16"/>
        </w:rPr>
        <w:t xml:space="preserve">Name architecture  </w:t>
      </w:r>
      <w:r>
        <w:rPr>
          <w:rFonts w:ascii="Literata" w:cs="Literata" w:eastAsia="Literata" w:hAnsi="Literata"/>
          <w:color w:val="221C15"/>
          <w:sz w:val="21"/>
          <w:szCs w:val="21"/>
        </w:rPr>
        <w:br/>
        <w:t xml:space="preserve">Facework is the proper name. FACEWORK is the logotype. face.works is the public domain and interface.</w:t>
      </w:r>
    </w:p>
    <w:p>
      <w:pPr>
        <w:pStyle w:val="Heading2"/>
        <w:spacing w:after="120" w:before="320"/>
        <w:outlineLvl w:val="1"/>
      </w:pPr>
      <w:r>
        <w:rPr>
          <w:rFonts w:ascii="Literata" w:cs="Literata" w:eastAsia="Literata" w:hAnsi="Literata"/>
          <w:b/>
          <w:bCs/>
          <w:color w:val="221C15"/>
          <w:sz w:val="26"/>
          <w:szCs w:val="26"/>
        </w:rPr>
        <w:t xml:space="preserve">Supporting type remains separate</w:t>
      </w:r>
    </w:p>
    <w:p>
      <w:pPr>
        <w:spacing w:after="160" w:line="300"/>
      </w:pPr>
      <w:r>
        <w:rPr>
          <w:rFonts w:ascii="Literata" w:cs="Literata" w:eastAsia="Literata" w:hAnsi="Literata"/>
          <w:color w:val="3B342B"/>
          <w:sz w:val="21"/>
          <w:szCs w:val="21"/>
        </w:rPr>
        <w:t xml:space="preserve">Spline Sans Mono carries identifiers, navigation, captions, and technical structure. Literata carries sustained reading. Register appears only as identity. This separation prevents the entire system from becoming logo-shaped.</w:t>
      </w:r>
    </w:p>
    <w:p>
      <w:pPr>
        <w:spacing w:after="120" w:before="520"/>
      </w:pPr>
      <w:r>
        <w:rPr>
          <w:rFonts w:ascii="Spline Sans Mono" w:cs="Spline Sans Mono" w:eastAsia="Spline Sans Mono" w:hAnsi="Spline Sans Mono"/>
          <w:caps/>
          <w:color w:val="2F8A80"/>
          <w:spacing w:val="30"/>
          <w:sz w:val="16"/>
          <w:szCs w:val="16"/>
        </w:rPr>
        <w:t xml:space="preserve">03 / FIELD NOTE 014</w:t>
      </w:r>
    </w:p>
    <w:p>
      <w:pPr>
        <w:pStyle w:val="Heading1"/>
        <w:spacing w:after="180"/>
        <w:outlineLvl w:val="0"/>
      </w:pPr>
      <w:r>
        <w:rPr>
          <w:rFonts w:ascii="Literata" w:cs="Literata" w:eastAsia="Literata" w:hAnsi="Literata"/>
          <w:b w:val="false"/>
          <w:bCs w:val="false"/>
          <w:color w:val="221C15"/>
          <w:sz w:val="40"/>
          <w:szCs w:val="40"/>
        </w:rPr>
        <w:t xml:space="preserve">A signature is a responsive relationship.</w:t>
      </w:r>
    </w:p>
    <w:p>
      <w:pPr>
        <w:spacing w:after="160" w:line="300"/>
      </w:pPr>
      <w:r>
        <w:rPr>
          <w:rFonts w:ascii="Literata" w:cs="Literata" w:eastAsia="Literata" w:hAnsi="Literata"/>
          <w:color w:val="3B342B"/>
          <w:sz w:val="21"/>
          <w:szCs w:val="21"/>
        </w:rPr>
        <w:t xml:space="preserve">Primary, stacked, word-only, and mark-only expressions are selected by context and legibility — not preference.</w:t>
      </w:r>
    </w:p>
    <w:tbl>
      <w:tblPr>
        <w:tblW w:type="dxa" w:w="9360"/>
        <w:tblBorders>
          <w:top w:val="single" w:color="CBC5B9" w:sz="4"/>
          <w:left w:val="none"/>
          <w:bottom w:val="single" w:color="CBC5B9" w:sz="4"/>
          <w:right w:val="none"/>
          <w:insideH w:val="single" w:color="CBC5B9" w:sz="2"/>
          <w:insideV w:val="none"/>
        </w:tblBorders>
      </w:tblPr>
      <w:tblGrid>
        <w:gridCol w:w="1800"/>
        <w:gridCol w:w="1800"/>
        <w:gridCol w:w="5760"/>
      </w:tblGrid>
      <w:tr>
        <w:trPr>
          <w:tblHeader/>
        </w:trPr>
        <w:tc>
          <w:tcPr>
            <w:tcW w:type="dxa" w:w="1800"/>
            <w:shd w:fill="EFEDE6" w:color="auto" w:val="clear"/>
            <w:tcMar>
              <w:top w:type="dxa" w:w="80"/>
              <w:left w:type="dxa" w:w="120"/>
              <w:bottom w:type="dxa" w:w="80"/>
              <w:right w:type="dxa" w:w="120"/>
            </w:tcMar>
          </w:tcPr>
          <w:p>
            <w:r>
              <w:rPr>
                <w:rFonts w:ascii="Spline Sans Mono" w:cs="Spline Sans Mono" w:eastAsia="Spline Sans Mono" w:hAnsi="Spline Sans Mono"/>
                <w:b/>
                <w:bCs/>
                <w:caps/>
                <w:color w:val="221C15"/>
                <w:spacing w:val="20"/>
                <w:sz w:val="16"/>
                <w:szCs w:val="16"/>
              </w:rPr>
              <w:t xml:space="preserve">Expression</w:t>
            </w:r>
          </w:p>
        </w:tc>
        <w:tc>
          <w:tcPr>
            <w:tcW w:type="dxa" w:w="1800"/>
            <w:shd w:fill="EFEDE6" w:color="auto" w:val="clear"/>
            <w:tcMar>
              <w:top w:type="dxa" w:w="80"/>
              <w:left w:type="dxa" w:w="120"/>
              <w:bottom w:type="dxa" w:w="80"/>
              <w:right w:type="dxa" w:w="120"/>
            </w:tcMar>
          </w:tcPr>
          <w:p>
            <w:r>
              <w:rPr>
                <w:rFonts w:ascii="Spline Sans Mono" w:cs="Spline Sans Mono" w:eastAsia="Spline Sans Mono" w:hAnsi="Spline Sans Mono"/>
                <w:b/>
                <w:bCs/>
                <w:caps/>
                <w:color w:val="221C15"/>
                <w:spacing w:val="20"/>
                <w:sz w:val="16"/>
                <w:szCs w:val="16"/>
              </w:rPr>
              <w:t xml:space="preserve">Minimum</w:t>
            </w:r>
          </w:p>
        </w:tc>
        <w:tc>
          <w:tcPr>
            <w:tcW w:type="dxa" w:w="5760"/>
            <w:shd w:fill="EFEDE6" w:color="auto" w:val="clear"/>
            <w:tcMar>
              <w:top w:type="dxa" w:w="80"/>
              <w:left w:type="dxa" w:w="120"/>
              <w:bottom w:type="dxa" w:w="80"/>
              <w:right w:type="dxa" w:w="120"/>
            </w:tcMar>
          </w:tcPr>
          <w:p>
            <w:r>
              <w:rPr>
                <w:rFonts w:ascii="Spline Sans Mono" w:cs="Spline Sans Mono" w:eastAsia="Spline Sans Mono" w:hAnsi="Spline Sans Mono"/>
                <w:b/>
                <w:bCs/>
                <w:caps/>
                <w:color w:val="221C15"/>
                <w:spacing w:val="20"/>
                <w:sz w:val="16"/>
                <w:szCs w:val="16"/>
              </w:rPr>
              <w:t xml:space="preserve">Use</w:t>
            </w:r>
          </w:p>
        </w:tc>
      </w:tr>
      <w:tr>
        <w:tc>
          <w:tcPr>
            <w:tcW w:type="dxa" w:w="1800"/>
            <w:tcMar>
              <w:top w:type="dxa" w:w="80"/>
              <w:left w:type="dxa" w:w="120"/>
              <w:bottom w:type="dxa" w:w="80"/>
              <w:right w:type="dxa" w:w="120"/>
            </w:tcMar>
          </w:tcPr>
          <w:p>
            <w:r>
              <w:rPr>
                <w:rFonts w:ascii="Literata" w:cs="Literata" w:eastAsia="Literata" w:hAnsi="Literata"/>
                <w:color w:val="3B342B"/>
                <w:sz w:val="19"/>
                <w:szCs w:val="19"/>
              </w:rPr>
              <w:t xml:space="preserve">Primary</w:t>
            </w:r>
          </w:p>
        </w:tc>
        <w:tc>
          <w:tcPr>
            <w:tcW w:type="dxa" w:w="1800"/>
            <w:tcMar>
              <w:top w:type="dxa" w:w="80"/>
              <w:left w:type="dxa" w:w="120"/>
              <w:bottom w:type="dxa" w:w="80"/>
              <w:right w:type="dxa" w:w="120"/>
            </w:tcMar>
          </w:tcPr>
          <w:p>
            <w:r>
              <w:rPr>
                <w:rFonts w:ascii="Spline Sans Mono" w:cs="Spline Sans Mono" w:eastAsia="Spline Sans Mono" w:hAnsi="Spline Sans Mono"/>
                <w:color w:val="3B342B"/>
                <w:spacing w:val="6"/>
                <w:sz w:val="16"/>
                <w:szCs w:val="16"/>
              </w:rPr>
              <w:t xml:space="preserve">24 px</w:t>
            </w:r>
          </w:p>
        </w:tc>
        <w:tc>
          <w:tcPr>
            <w:tcW w:type="dxa" w:w="5760"/>
            <w:tcMar>
              <w:top w:type="dxa" w:w="80"/>
              <w:left w:type="dxa" w:w="120"/>
              <w:bottom w:type="dxa" w:w="80"/>
              <w:right w:type="dxa" w:w="120"/>
            </w:tcMar>
          </w:tcPr>
          <w:p>
            <w:r>
              <w:rPr>
                <w:rFonts w:ascii="Literata" w:cs="Literata" w:eastAsia="Literata" w:hAnsi="Literata"/>
                <w:color w:val="3B342B"/>
                <w:sz w:val="19"/>
                <w:szCs w:val="19"/>
              </w:rPr>
              <w:t xml:space="preserve">First encounters and wide fields</w:t>
            </w:r>
          </w:p>
        </w:tc>
      </w:tr>
      <w:tr>
        <w:tc>
          <w:tcPr>
            <w:tcW w:type="dxa" w:w="1800"/>
            <w:tcMar>
              <w:top w:type="dxa" w:w="80"/>
              <w:left w:type="dxa" w:w="120"/>
              <w:bottom w:type="dxa" w:w="80"/>
              <w:right w:type="dxa" w:w="120"/>
            </w:tcMar>
          </w:tcPr>
          <w:p>
            <w:r>
              <w:rPr>
                <w:rFonts w:ascii="Literata" w:cs="Literata" w:eastAsia="Literata" w:hAnsi="Literata"/>
                <w:color w:val="3B342B"/>
                <w:sz w:val="19"/>
                <w:szCs w:val="19"/>
              </w:rPr>
              <w:t xml:space="preserve">Stacked</w:t>
            </w:r>
          </w:p>
        </w:tc>
        <w:tc>
          <w:tcPr>
            <w:tcW w:type="dxa" w:w="1800"/>
            <w:tcMar>
              <w:top w:type="dxa" w:w="80"/>
              <w:left w:type="dxa" w:w="120"/>
              <w:bottom w:type="dxa" w:w="80"/>
              <w:right w:type="dxa" w:w="120"/>
            </w:tcMar>
          </w:tcPr>
          <w:p>
            <w:r>
              <w:rPr>
                <w:rFonts w:ascii="Spline Sans Mono" w:cs="Spline Sans Mono" w:eastAsia="Spline Sans Mono" w:hAnsi="Spline Sans Mono"/>
                <w:color w:val="3B342B"/>
                <w:spacing w:val="6"/>
                <w:sz w:val="16"/>
                <w:szCs w:val="16"/>
              </w:rPr>
              <w:t xml:space="preserve">48 px</w:t>
            </w:r>
          </w:p>
        </w:tc>
        <w:tc>
          <w:tcPr>
            <w:tcW w:type="dxa" w:w="5760"/>
            <w:tcMar>
              <w:top w:type="dxa" w:w="80"/>
              <w:left w:type="dxa" w:w="120"/>
              <w:bottom w:type="dxa" w:w="80"/>
              <w:right w:type="dxa" w:w="120"/>
            </w:tcMar>
          </w:tcPr>
          <w:p>
            <w:r>
              <w:rPr>
                <w:rFonts w:ascii="Literata" w:cs="Literata" w:eastAsia="Literata" w:hAnsi="Literata"/>
                <w:color w:val="3B342B"/>
                <w:sz w:val="19"/>
                <w:szCs w:val="19"/>
              </w:rPr>
              <w:t xml:space="preserve">Square, portrait, or ceremonial fields</w:t>
            </w:r>
          </w:p>
        </w:tc>
      </w:tr>
      <w:tr>
        <w:tc>
          <w:tcPr>
            <w:tcW w:type="dxa" w:w="1800"/>
            <w:tcMar>
              <w:top w:type="dxa" w:w="80"/>
              <w:left w:type="dxa" w:w="120"/>
              <w:bottom w:type="dxa" w:w="80"/>
              <w:right w:type="dxa" w:w="120"/>
            </w:tcMar>
          </w:tcPr>
          <w:p>
            <w:r>
              <w:rPr>
                <w:rFonts w:ascii="Literata" w:cs="Literata" w:eastAsia="Literata" w:hAnsi="Literata"/>
                <w:color w:val="3B342B"/>
                <w:sz w:val="19"/>
                <w:szCs w:val="19"/>
              </w:rPr>
              <w:t xml:space="preserve">Word</w:t>
            </w:r>
          </w:p>
        </w:tc>
        <w:tc>
          <w:tcPr>
            <w:tcW w:type="dxa" w:w="1800"/>
            <w:tcMar>
              <w:top w:type="dxa" w:w="80"/>
              <w:left w:type="dxa" w:w="120"/>
              <w:bottom w:type="dxa" w:w="80"/>
              <w:right w:type="dxa" w:w="120"/>
            </w:tcMar>
          </w:tcPr>
          <w:p>
            <w:r>
              <w:rPr>
                <w:rFonts w:ascii="Spline Sans Mono" w:cs="Spline Sans Mono" w:eastAsia="Spline Sans Mono" w:hAnsi="Spline Sans Mono"/>
                <w:color w:val="3B342B"/>
                <w:spacing w:val="6"/>
                <w:sz w:val="16"/>
                <w:szCs w:val="16"/>
              </w:rPr>
              <w:t xml:space="preserve">18 px</w:t>
            </w:r>
          </w:p>
        </w:tc>
        <w:tc>
          <w:tcPr>
            <w:tcW w:type="dxa" w:w="5760"/>
            <w:tcMar>
              <w:top w:type="dxa" w:w="80"/>
              <w:left w:type="dxa" w:w="120"/>
              <w:bottom w:type="dxa" w:w="80"/>
              <w:right w:type="dxa" w:w="120"/>
            </w:tcMar>
          </w:tcPr>
          <w:p>
            <w:r>
              <w:rPr>
                <w:rFonts w:ascii="Literata" w:cs="Literata" w:eastAsia="Literata" w:hAnsi="Literata"/>
                <w:color w:val="3B342B"/>
                <w:sz w:val="19"/>
                <w:szCs w:val="19"/>
              </w:rPr>
              <w:t xml:space="preserve">Mark already present or narrow horizontal field</w:t>
            </w:r>
          </w:p>
        </w:tc>
      </w:tr>
      <w:tr>
        <w:tc>
          <w:tcPr>
            <w:tcW w:type="dxa" w:w="1800"/>
            <w:tcMar>
              <w:top w:type="dxa" w:w="80"/>
              <w:left w:type="dxa" w:w="120"/>
              <w:bottom w:type="dxa" w:w="80"/>
              <w:right w:type="dxa" w:w="120"/>
            </w:tcMar>
          </w:tcPr>
          <w:p>
            <w:r>
              <w:rPr>
                <w:rFonts w:ascii="Literata" w:cs="Literata" w:eastAsia="Literata" w:hAnsi="Literata"/>
                <w:color w:val="3B342B"/>
                <w:sz w:val="19"/>
                <w:szCs w:val="19"/>
              </w:rPr>
              <w:t xml:space="preserve">Mark</w:t>
            </w:r>
          </w:p>
        </w:tc>
        <w:tc>
          <w:tcPr>
            <w:tcW w:type="dxa" w:w="1800"/>
            <w:tcMar>
              <w:top w:type="dxa" w:w="80"/>
              <w:left w:type="dxa" w:w="120"/>
              <w:bottom w:type="dxa" w:w="80"/>
              <w:right w:type="dxa" w:w="120"/>
            </w:tcMar>
          </w:tcPr>
          <w:p>
            <w:r>
              <w:rPr>
                <w:rFonts w:ascii="Spline Sans Mono" w:cs="Spline Sans Mono" w:eastAsia="Spline Sans Mono" w:hAnsi="Spline Sans Mono"/>
                <w:color w:val="3B342B"/>
                <w:spacing w:val="6"/>
                <w:sz w:val="16"/>
                <w:szCs w:val="16"/>
              </w:rPr>
              <w:t xml:space="preserve">32 px core</w:t>
            </w:r>
          </w:p>
        </w:tc>
        <w:tc>
          <w:tcPr>
            <w:tcW w:type="dxa" w:w="5760"/>
            <w:tcMar>
              <w:top w:type="dxa" w:w="80"/>
              <w:left w:type="dxa" w:w="120"/>
              <w:bottom w:type="dxa" w:w="80"/>
              <w:right w:type="dxa" w:w="120"/>
            </w:tcMar>
          </w:tcPr>
          <w:p>
            <w:r>
              <w:rPr>
                <w:rFonts w:ascii="Literata" w:cs="Literata" w:eastAsia="Literata" w:hAnsi="Literata"/>
                <w:color w:val="3B342B"/>
                <w:sz w:val="19"/>
                <w:szCs w:val="19"/>
              </w:rPr>
              <w:t xml:space="preserve">Identity established through adjacency or convention</w:t>
            </w:r>
          </w:p>
        </w:tc>
      </w:tr>
    </w:tbl>
    <w:p>
      <w:pPr>
        <w:pStyle w:val="Heading2"/>
        <w:spacing w:after="120" w:before="320"/>
        <w:outlineLvl w:val="1"/>
      </w:pPr>
      <w:r>
        <w:rPr>
          <w:rFonts w:ascii="Literata" w:cs="Literata" w:eastAsia="Literata" w:hAnsi="Literata"/>
          <w:b/>
          <w:bCs/>
          <w:color w:val="221C15"/>
          <w:sz w:val="26"/>
          <w:szCs w:val="26"/>
        </w:rPr>
        <w:t xml:space="preserve">One interval governs the field</w:t>
      </w:r>
    </w:p>
    <w:p>
      <w:pPr>
        <w:spacing w:after="160" w:line="300"/>
      </w:pPr>
      <w:r>
        <w:rPr>
          <w:rFonts w:ascii="Literata" w:cs="Literata" w:eastAsia="Literata" w:hAnsi="Literata"/>
          <w:color w:val="3B342B"/>
          <w:sz w:val="21"/>
          <w:szCs w:val="21"/>
        </w:rPr>
        <w:t xml:space="preserve">The central interval of the Coherence Mark is x. Clear space, mark-to-word separation, descriptor distance, and co-branding space all derive from x. Translation can change configuration before it loses meaning; it cannot simply shrink a preferred lockup below its minimum.</w:t>
      </w:r>
    </w:p>
    <w:p>
      <w:pPr>
        <w:spacing w:after="120" w:before="520"/>
      </w:pPr>
      <w:r>
        <w:rPr>
          <w:rFonts w:ascii="Spline Sans Mono" w:cs="Spline Sans Mono" w:eastAsia="Spline Sans Mono" w:hAnsi="Spline Sans Mono"/>
          <w:caps/>
          <w:color w:val="2F8A80"/>
          <w:spacing w:val="30"/>
          <w:sz w:val="16"/>
          <w:szCs w:val="16"/>
        </w:rPr>
        <w:t xml:space="preserve">04 / FIELD NOTE 014</w:t>
      </w:r>
    </w:p>
    <w:p>
      <w:pPr>
        <w:pStyle w:val="Heading1"/>
        <w:spacing w:after="180"/>
        <w:outlineLvl w:val="0"/>
      </w:pPr>
      <w:r>
        <w:rPr>
          <w:rFonts w:ascii="Literata" w:cs="Literata" w:eastAsia="Literata" w:hAnsi="Literata"/>
          <w:b w:val="false"/>
          <w:bCs w:val="false"/>
          <w:color w:val="221C15"/>
          <w:sz w:val="40"/>
          <w:szCs w:val="40"/>
        </w:rPr>
        <w:t xml:space="preserve">The grammar makes relationships legible.</w:t>
      </w:r>
    </w:p>
    <w:p>
      <w:pPr>
        <w:spacing w:after="160" w:line="300"/>
      </w:pPr>
      <w:r>
        <w:rPr>
          <w:rFonts w:ascii="Literata" w:cs="Literata" w:eastAsia="Literata" w:hAnsi="Literata"/>
          <w:color w:val="3B342B"/>
          <w:sz w:val="21"/>
          <w:szCs w:val="21"/>
        </w:rPr>
        <w:t xml:space="preserve">Seven diagram symbols distinguish observation, artifact, boundary, connection, dependency, exchange, and transformation.</w:t>
      </w:r>
    </w:p>
    <w:p>
      <w:pPr>
        <w:spacing w:after="160" w:line="300"/>
      </w:pPr>
      <w:r>
        <w:rPr>
          <w:rFonts w:ascii="Literata" w:cs="Literata" w:eastAsia="Literata" w:hAnsi="Literata"/>
          <w:color w:val="3B342B"/>
          <w:sz w:val="21"/>
          <w:szCs w:val="21"/>
        </w:rPr>
        <w:t xml:space="preserve">The symbols are deliberately small in number. They identify kind; adjacent labels identify meaning. Lines declare whether a relationship is asserted, conditional, contextual, directional, reciprocal, or transformative.</w:t>
      </w:r>
    </w:p>
    <w:p>
      <w:pPr>
        <w:pBdr>
          <w:left w:val="single" w:color="2F8A80" w:sz="18" w:space="240"/>
        </w:pBdr>
        <w:spacing w:after="200" w:before="200"/>
        <w:ind w:left="360"/>
      </w:pPr>
      <w:r>
        <w:rPr>
          <w:rFonts w:ascii="Spline Sans Mono" w:cs="Spline Sans Mono" w:eastAsia="Spline Sans Mono" w:hAnsi="Spline Sans Mono"/>
          <w:b/>
          <w:bCs/>
          <w:caps/>
          <w:color w:val="2F8A80"/>
          <w:spacing w:val="20"/>
          <w:sz w:val="16"/>
          <w:szCs w:val="16"/>
        </w:rPr>
        <w:t xml:space="preserve">Accessibility  </w:t>
      </w:r>
      <w:r>
        <w:rPr>
          <w:rFonts w:ascii="Literata" w:cs="Literata" w:eastAsia="Literata" w:hAnsi="Literata"/>
          <w:color w:val="221C15"/>
          <w:sz w:val="21"/>
          <w:szCs w:val="21"/>
        </w:rPr>
        <w:br/>
        <w:t xml:space="preserve">Every diagram requires a subject title, a consequential short description, a structured text alternative, and a non-color signal for every state.</w:t>
      </w:r>
    </w:p>
    <w:p>
      <w:pPr>
        <w:pStyle w:val="Heading2"/>
        <w:spacing w:after="120" w:before="320"/>
        <w:outlineLvl w:val="1"/>
      </w:pPr>
      <w:r>
        <w:rPr>
          <w:rFonts w:ascii="Literata" w:cs="Literata" w:eastAsia="Literata" w:hAnsi="Literata"/>
          <w:b/>
          <w:bCs/>
          <w:color w:val="221C15"/>
          <w:sz w:val="26"/>
          <w:szCs w:val="26"/>
        </w:rPr>
        <w:t xml:space="preserve">Identity stays outside the model</w:t>
      </w:r>
    </w:p>
    <w:p>
      <w:pPr>
        <w:spacing w:after="160" w:line="300"/>
      </w:pPr>
      <w:r>
        <w:rPr>
          <w:rFonts w:ascii="Literata" w:cs="Literata" w:eastAsia="Literata" w:hAnsi="Literata"/>
          <w:color w:val="3B342B"/>
          <w:sz w:val="21"/>
          <w:szCs w:val="21"/>
        </w:rPr>
        <w:t xml:space="preserve">The Coherence Mark may identify the publisher, but it never becomes a generic node or a shorthand for “coherence achieved.” The grammar shares behaviors with the mark without borrowing its silhouette.</w:t>
      </w:r>
    </w:p>
    <w:p>
      <w:pPr>
        <w:spacing w:after="120" w:before="520"/>
      </w:pPr>
      <w:r>
        <w:rPr>
          <w:rFonts w:ascii="Spline Sans Mono" w:cs="Spline Sans Mono" w:eastAsia="Spline Sans Mono" w:hAnsi="Spline Sans Mono"/>
          <w:caps/>
          <w:color w:val="2F8A80"/>
          <w:spacing w:val="30"/>
          <w:sz w:val="16"/>
          <w:szCs w:val="16"/>
        </w:rPr>
        <w:t xml:space="preserve">05 / FIELD NOTE 014</w:t>
      </w:r>
    </w:p>
    <w:p>
      <w:pPr>
        <w:pStyle w:val="Heading1"/>
        <w:spacing w:after="180"/>
        <w:outlineLvl w:val="0"/>
      </w:pPr>
      <w:r>
        <w:rPr>
          <w:rFonts w:ascii="Literata" w:cs="Literata" w:eastAsia="Literata" w:hAnsi="Literata"/>
          <w:b w:val="false"/>
          <w:bCs w:val="false"/>
          <w:color w:val="221C15"/>
          <w:sz w:val="40"/>
          <w:szCs w:val="40"/>
        </w:rPr>
        <w:t xml:space="preserve">Motion reveals relation through time.</w:t>
      </w:r>
    </w:p>
    <w:p>
      <w:pPr>
        <w:spacing w:after="160" w:line="300"/>
      </w:pPr>
      <w:r>
        <w:rPr>
          <w:rFonts w:ascii="Literata" w:cs="Literata" w:eastAsia="Literata" w:hAnsi="Literata"/>
          <w:color w:val="3B342B"/>
          <w:sz w:val="21"/>
          <w:szCs w:val="21"/>
        </w:rPr>
        <w:t xml:space="preserve">Exchange Resolve shows two legible counterparts approaching a shared axis and settling without merging.</w:t>
      </w:r>
    </w:p>
    <w:p>
      <w:pPr>
        <w:spacing w:after="160" w:line="300"/>
      </w:pPr>
      <w:r>
        <w:rPr>
          <w:rFonts w:ascii="Literata" w:cs="Literata" w:eastAsia="Literata" w:hAnsi="Literata"/>
          <w:color w:val="3B342B"/>
          <w:sz w:val="21"/>
          <w:szCs w:val="21"/>
        </w:rPr>
        <w:t xml:space="preserve">The four phases are Available, Approach, Exchange, and Resolve. The sequence lasts 520 milliseconds, uses controlled deceleration, and changes only transform and opacity. Register enters as one name, never letter by letter.</w:t>
      </w:r>
    </w:p>
    <w:p>
      <w:pPr>
        <w:pBdr>
          <w:left w:val="single" w:color="2F8A80" w:sz="18" w:space="240"/>
        </w:pBdr>
        <w:spacing w:after="200" w:before="200"/>
        <w:ind w:left="360"/>
      </w:pPr>
      <w:r>
        <w:rPr>
          <w:rFonts w:ascii="Spline Sans Mono" w:cs="Spline Sans Mono" w:eastAsia="Spline Sans Mono" w:hAnsi="Spline Sans Mono"/>
          <w:b/>
          <w:bCs/>
          <w:caps/>
          <w:color w:val="2F8A80"/>
          <w:spacing w:val="20"/>
          <w:sz w:val="16"/>
          <w:szCs w:val="16"/>
        </w:rPr>
        <w:t xml:space="preserve">Reduced motion  </w:t>
      </w:r>
      <w:r>
        <w:rPr>
          <w:rFonts w:ascii="Literata" w:cs="Literata" w:eastAsia="Literata" w:hAnsi="Literata"/>
          <w:color w:val="221C15"/>
          <w:sz w:val="21"/>
          <w:szCs w:val="21"/>
        </w:rPr>
        <w:br/>
        <w:t xml:space="preserve">Render the resolved geometry immediately. Preserve state and accessible naming. Remove travel, pulse, drawing, and ambient loops.</w:t>
      </w:r>
    </w:p>
    <w:p>
      <w:pPr>
        <w:pStyle w:val="Heading2"/>
        <w:spacing w:after="120" w:before="320"/>
        <w:outlineLvl w:val="1"/>
      </w:pPr>
      <w:r>
        <w:rPr>
          <w:rFonts w:ascii="Literata" w:cs="Literata" w:eastAsia="Literata" w:hAnsi="Literata"/>
          <w:b/>
          <w:bCs/>
          <w:color w:val="221C15"/>
          <w:sz w:val="26"/>
          <w:szCs w:val="26"/>
        </w:rPr>
        <w:t xml:space="preserve">The final test</w:t>
      </w:r>
    </w:p>
    <w:p>
      <w:pPr>
        <w:spacing w:after="160" w:line="300"/>
      </w:pPr>
      <w:r>
        <w:rPr>
          <w:rFonts w:ascii="Literata" w:cs="Literata" w:eastAsia="Literata" w:hAnsi="Literata"/>
          <w:color w:val="3B342B"/>
          <w:sz w:val="21"/>
          <w:szCs w:val="21"/>
        </w:rPr>
        <w:t xml:space="preserve">The identity succeeds when another person can recognize it, use it, inspect its derivation, challenge its rules, and carry it into a new medium without depending on the original creator.</w:t>
      </w:r>
    </w:p>
    <w:p>
      <w:pPr>
        <w:spacing w:after="120" w:before="520"/>
      </w:pPr>
      <w:r>
        <w:rPr>
          <w:rFonts w:ascii="Spline Sans Mono" w:cs="Spline Sans Mono" w:eastAsia="Spline Sans Mono" w:hAnsi="Spline Sans Mono"/>
          <w:caps/>
          <w:color w:val="2F8A80"/>
          <w:spacing w:val="30"/>
          <w:sz w:val="16"/>
          <w:szCs w:val="16"/>
        </w:rPr>
        <w:t xml:space="preserve">06 / FIELD NOTE 014</w:t>
      </w:r>
    </w:p>
    <w:p>
      <w:pPr>
        <w:pStyle w:val="Heading1"/>
        <w:spacing w:after="180"/>
        <w:outlineLvl w:val="0"/>
      </w:pPr>
      <w:r>
        <w:rPr>
          <w:rFonts w:ascii="Literata" w:cs="Literata" w:eastAsia="Literata" w:hAnsi="Literata"/>
          <w:b w:val="false"/>
          <w:bCs w:val="false"/>
          <w:color w:val="221C15"/>
          <w:sz w:val="40"/>
          <w:szCs w:val="40"/>
        </w:rPr>
        <w:t xml:space="preserve">Lineage is part of the artifact.</w:t>
      </w:r>
    </w:p>
    <w:p>
      <w:pPr>
        <w:spacing w:after="160" w:line="300"/>
      </w:pPr>
      <w:r>
        <w:rPr>
          <w:rFonts w:ascii="Literata" w:cs="Literata" w:eastAsia="Literata" w:hAnsi="Literata"/>
          <w:color w:val="3B342B"/>
          <w:sz w:val="21"/>
          <w:szCs w:val="21"/>
        </w:rPr>
        <w:t xml:space="preserve">This field note is itself a reference implementation of FVA-200. Its page behavior is derived from the same system it describes.</w:t>
      </w:r>
    </w:p>
    <w:p>
      <w:pPr>
        <w:pStyle w:val="Heading2"/>
        <w:spacing w:after="120" w:before="320"/>
        <w:outlineLvl w:val="1"/>
      </w:pPr>
      <w:r>
        <w:rPr>
          <w:rFonts w:ascii="Literata" w:cs="Literata" w:eastAsia="Literata" w:hAnsi="Literata"/>
          <w:b/>
          <w:bCs/>
          <w:color w:val="221C15"/>
          <w:sz w:val="26"/>
          <w:szCs w:val="26"/>
        </w:rPr>
        <w:t xml:space="preserve">Derived from</w:t>
      </w:r>
    </w:p>
    <w:p>
      <w:pPr>
        <w:pStyle w:val="ListParagraph"/>
        <w:numPr>
          <w:ilvl w:val="0"/>
          <w:numId w:val="2"/>
        </w:numPr>
        <w:spacing w:after="60"/>
      </w:pPr>
      <w:r>
        <w:rPr>
          <w:rFonts w:ascii="Spline Sans Mono" w:cs="Spline Sans Mono" w:eastAsia="Spline Sans Mono" w:hAnsi="Spline Sans Mono"/>
          <w:color w:val="3B342B"/>
          <w:spacing w:val="10"/>
          <w:sz w:val="16"/>
          <w:szCs w:val="16"/>
        </w:rPr>
        <w:t xml:space="preserve">FVS-400 Composition</w:t>
      </w:r>
    </w:p>
    <w:p>
      <w:pPr>
        <w:pStyle w:val="ListParagraph"/>
        <w:numPr>
          <w:ilvl w:val="0"/>
          <w:numId w:val="2"/>
        </w:numPr>
        <w:spacing w:after="60"/>
      </w:pPr>
      <w:r>
        <w:rPr>
          <w:rFonts w:ascii="Spline Sans Mono" w:cs="Spline Sans Mono" w:eastAsia="Spline Sans Mono" w:hAnsi="Spline Sans Mono"/>
          <w:color w:val="3B342B"/>
          <w:spacing w:val="10"/>
          <w:sz w:val="16"/>
          <w:szCs w:val="16"/>
        </w:rPr>
        <w:t xml:space="preserve">FVS-500 Typography</w:t>
      </w:r>
    </w:p>
    <w:p>
      <w:pPr>
        <w:pStyle w:val="ListParagraph"/>
        <w:numPr>
          <w:ilvl w:val="0"/>
          <w:numId w:val="2"/>
        </w:numPr>
        <w:spacing w:after="60"/>
      </w:pPr>
      <w:r>
        <w:rPr>
          <w:rFonts w:ascii="Spline Sans Mono" w:cs="Spline Sans Mono" w:eastAsia="Spline Sans Mono" w:hAnsi="Spline Sans Mono"/>
          <w:color w:val="3B342B"/>
          <w:spacing w:val="10"/>
          <w:sz w:val="16"/>
          <w:szCs w:val="16"/>
        </w:rPr>
        <w:t xml:space="preserve">FVS-900 Applications</w:t>
      </w:r>
    </w:p>
    <w:p>
      <w:pPr>
        <w:pStyle w:val="ListParagraph"/>
        <w:numPr>
          <w:ilvl w:val="0"/>
          <w:numId w:val="2"/>
        </w:numPr>
        <w:spacing w:after="60"/>
      </w:pPr>
      <w:r>
        <w:rPr>
          <w:rFonts w:ascii="Spline Sans Mono" w:cs="Spline Sans Mono" w:eastAsia="Spline Sans Mono" w:hAnsi="Spline Sans Mono"/>
          <w:color w:val="3B342B"/>
          <w:spacing w:val="10"/>
          <w:sz w:val="16"/>
          <w:szCs w:val="16"/>
        </w:rPr>
        <w:t xml:space="preserve">FVI-001 Coherence Mark</w:t>
      </w:r>
    </w:p>
    <w:p>
      <w:pPr>
        <w:pStyle w:val="ListParagraph"/>
        <w:numPr>
          <w:ilvl w:val="0"/>
          <w:numId w:val="2"/>
        </w:numPr>
        <w:spacing w:after="60"/>
      </w:pPr>
      <w:r>
        <w:rPr>
          <w:rFonts w:ascii="Spline Sans Mono" w:cs="Spline Sans Mono" w:eastAsia="Spline Sans Mono" w:hAnsi="Spline Sans Mono"/>
          <w:color w:val="3B342B"/>
          <w:spacing w:val="10"/>
          <w:sz w:val="16"/>
          <w:szCs w:val="16"/>
        </w:rPr>
        <w:t xml:space="preserve">FVI-100 Facework Logotype</w:t>
      </w:r>
    </w:p>
    <w:p>
      <w:pPr>
        <w:pStyle w:val="ListParagraph"/>
        <w:numPr>
          <w:ilvl w:val="0"/>
          <w:numId w:val="2"/>
        </w:numPr>
        <w:spacing w:after="60"/>
      </w:pPr>
      <w:r>
        <w:rPr>
          <w:rFonts w:ascii="Spline Sans Mono" w:cs="Spline Sans Mono" w:eastAsia="Spline Sans Mono" w:hAnsi="Spline Sans Mono"/>
          <w:color w:val="3B342B"/>
          <w:spacing w:val="10"/>
          <w:sz w:val="16"/>
          <w:szCs w:val="16"/>
        </w:rPr>
        <w:t xml:space="preserve">FVI-200 Spatial Protocol</w:t>
      </w:r>
    </w:p>
    <w:p>
      <w:pPr>
        <w:pStyle w:val="ListParagraph"/>
        <w:numPr>
          <w:ilvl w:val="0"/>
          <w:numId w:val="2"/>
        </w:numPr>
        <w:spacing w:after="60"/>
      </w:pPr>
      <w:r>
        <w:rPr>
          <w:rFonts w:ascii="Spline Sans Mono" w:cs="Spline Sans Mono" w:eastAsia="Spline Sans Mono" w:hAnsi="Spline Sans Mono"/>
          <w:color w:val="3B342B"/>
          <w:spacing w:val="10"/>
          <w:sz w:val="16"/>
          <w:szCs w:val="16"/>
        </w:rPr>
        <w:t xml:space="preserve">FVI-300 Diagram Grammar</w:t>
      </w:r>
    </w:p>
    <w:p>
      <w:pPr>
        <w:pStyle w:val="ListParagraph"/>
        <w:numPr>
          <w:ilvl w:val="0"/>
          <w:numId w:val="2"/>
        </w:numPr>
        <w:spacing w:after="60"/>
      </w:pPr>
      <w:r>
        <w:rPr>
          <w:rFonts w:ascii="Spline Sans Mono" w:cs="Spline Sans Mono" w:eastAsia="Spline Sans Mono" w:hAnsi="Spline Sans Mono"/>
          <w:color w:val="3B342B"/>
          <w:spacing w:val="10"/>
          <w:sz w:val="16"/>
          <w:szCs w:val="16"/>
        </w:rPr>
        <w:t xml:space="preserve">FVI-400 Motion Signature</w:t>
      </w:r>
    </w:p>
    <w:p>
      <w:pPr>
        <w:pBdr>
          <w:left w:val="single" w:color="2F8A80" w:sz="18" w:space="240"/>
        </w:pBdr>
        <w:spacing w:after="200" w:before="200"/>
        <w:ind w:left="360"/>
      </w:pPr>
      <w:r>
        <w:rPr>
          <w:rFonts w:ascii="Spline Sans Mono" w:cs="Spline Sans Mono" w:eastAsia="Spline Sans Mono" w:hAnsi="Spline Sans Mono"/>
          <w:b/>
          <w:bCs/>
          <w:caps/>
          <w:color w:val="2F8A80"/>
          <w:spacing w:val="20"/>
          <w:sz w:val="16"/>
          <w:szCs w:val="16"/>
        </w:rPr>
        <w:t xml:space="preserve">Preservation note  </w:t>
      </w:r>
      <w:r>
        <w:rPr>
          <w:rFonts w:ascii="Literata" w:cs="Literata" w:eastAsia="Literata" w:hAnsi="Literata"/>
          <w:color w:val="221C15"/>
          <w:sz w:val="21"/>
          <w:szCs w:val="21"/>
        </w:rPr>
        <w:br/>
        <w:t xml:space="preserve">The source specifications remain authoritative. This publication demonstrates one conforming translation and does not replace them.</w:t>
      </w:r>
    </w:p>
    <w:p>
      <w:pPr>
        <w:pBdr>
          <w:bottom w:val="single" w:color="CBC5B9" w:sz="6" w:space="4"/>
        </w:pBdr>
        <w:spacing w:after="240" w:before="120"/>
      </w:pPr>
    </w:p>
    <w:p>
      <w:pPr>
        <w:spacing w:before="120"/>
      </w:pPr>
      <w:r>
        <w:rPr>
          <w:rFonts w:ascii="Literata" w:cs="Literata" w:eastAsia="Literata" w:hAnsi="Literata"/>
          <w:i/>
          <w:iCs/>
          <w:color w:val="221C15"/>
          <w:sz w:val="22"/>
          <w:szCs w:val="22"/>
        </w:rPr>
        <w:t xml:space="preserve">Nothing is designed until it can be derived.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C5B9" w:sz="4" w:space="6"/>
      </w:pBdr>
    </w:pPr>
    <w:r>
      <w:rPr>
        <w:rFonts w:ascii="Spline Sans Mono" w:cs="Spline Sans Mono" w:eastAsia="Spline Sans Mono" w:hAnsi="Spline Sans Mono"/>
        <w:color w:val="7A736A"/>
        <w:spacing w:val="16"/>
        <w:sz w:val="16"/>
        <w:szCs w:val="16"/>
      </w:rPr>
      <w:t xml:space="preserve">face.works</w:t>
    </w:r>
    <w:r>
      <w:rPr>
        <w:rFonts w:ascii="Spline Sans Mono" w:cs="Spline Sans Mono" w:eastAsia="Spline Sans Mono" w:hAnsi="Spline Sans Mono"/>
        <w:color w:val="7A736A"/>
        <w:sz w:val="16"/>
        <w:szCs w:val="16"/>
      </w:rPr>
      <w:ptab w:alignment="right" w:relativeTo="margin" w:leader="none"/>
      <w: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C5B9" w:sz="4" w:space="6"/>
      </w:pBdr>
      <w:spacing w:after="0"/>
    </w:pPr>
    <w:r>
      <w:rPr>
        <w:rFonts w:ascii="Spline Sans Mono" w:cs="Spline Sans Mono" w:eastAsia="Spline Sans Mono" w:hAnsi="Spline Sans Mono"/>
        <w:color w:val="7A736A"/>
        <w:spacing w:val="16"/>
        <w:sz w:val="16"/>
        <w:szCs w:val="16"/>
      </w:rPr>
      <w:t xml:space="preserve">FACEWORK  /  FIELD NOTE 014</w:t>
    </w:r>
    <w:r>
      <w:rPr>
        <w:rFonts w:ascii="Spline Sans Mono" w:cs="Spline Sans Mono" w:eastAsia="Spline Sans Mono" w:hAnsi="Spline Sans Mono"/>
      </w:rPr>
      <w:ptab w:alignment="right" w:relativeTo="margin" w:leader="none"/>
    </w:r>
    <w:r>
      <w:rPr>
        <w:rFonts w:ascii="Spline Sans Mono" w:cs="Spline Sans Mono" w:eastAsia="Spline Sans Mono" w:hAnsi="Spline Sans Mono"/>
        <w:color w:val="7A736A"/>
        <w:spacing w:val="16"/>
        <w:sz w:val="16"/>
        <w:szCs w:val="16"/>
      </w:rPr>
      <w:t xml:space="preserve">FVA-200 / IDENTITY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F8A8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terata" w:cs="Literata" w:eastAsia="Literata" w:hAnsi="Literata"/>
        <w:color w:val="3B34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e80d1f2a691d1fd39a798c9f52173a3546c55e.png"/><Relationship Id="rId10" Type="http://schemas.openxmlformats.org/officeDocument/2006/relationships/image" Target="media/4d4ffcc87f21a520c41c87d95e6d3c409733977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Facework Field Note 014 — Identity as protocol</dc:title>
  <dc:creator>Facework</dc:creator>
  <dc:description>FVA-200 publication reference</dc:description>
  <cp:lastModifiedBy>Un-named</cp:lastModifiedBy>
  <cp:revision>1</cp:revision>
  <dcterms:created xsi:type="dcterms:W3CDTF">2026-08-10T20:19:58.814Z</dcterms:created>
  <dcterms:modified xsi:type="dcterms:W3CDTF">2026-08-10T20:19:58.816Z</dcterms:modified>
</cp:coreProperties>
</file>

<file path=docProps/custom.xml><?xml version="1.0" encoding="utf-8"?>
<Properties xmlns="http://schemas.openxmlformats.org/officeDocument/2006/custom-properties" xmlns:vt="http://schemas.openxmlformats.org/officeDocument/2006/docPropsVTypes"/>
</file>