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Canonical Confrontation: Kernel/Comma Topology and the Structural Production of Canonical Status</w:t>
      </w:r>
    </w:p>
    <w:p>
      <w:pPr>
        <w:pStyle w:val="BodyText"/>
      </w:pPr>
      <w:r>
        <w:t xml:space="preserve">Chris Brink</w:t>
      </w:r>
    </w:p>
    <w:p>
      <w:pPr>
        <w:pStyle w:val="BodyText"/>
      </w:pPr>
      <w:r>
        <w:rPr>
          <w:b/>
          <w:bCs/>
        </w:rPr>
        <w:t xml:space="preserve">Chris Brink</w:t>
      </w:r>
    </w:p>
    <w:p>
      <w:pPr>
        <w:pStyle w:val="BodyText"/>
      </w:pPr>
      <w:r>
        <w:t xml:space="preserve">FalseWork (falsework.dev)</w:t>
      </w:r>
    </w:p>
    <w:p>
      <w:pPr>
        <w:pStyle w:val="BodyText"/>
      </w:pPr>
      <w:r>
        <w:rPr>
          <w:i/>
          <w:iCs/>
        </w:rPr>
        <w:t xml:space="preserve">Version 2.1. Revisions from version 2.0: refinement to § 4 absorbing the Korsyn 1991 / Straus 1990 programme of Bloomian musicology as corroborative rather than counter-evidence of the structural relocation — the Bloomian-music literature’s recurrent strain toward structural (rather than interpersonal) accounts of musical influence is now treated as supporting the paper’s thesis rather than as a domain the interpersonal agon model simply fails to reach. Korsyn (1991) and Straus (1990) added to References. No other substantive changes. Companion paper to Brink 2026a–d (Papers 1–4) and the Pythagorean companion (Brink 2026e).</w:t>
      </w:r>
    </w:p>
    <w:p>
      <w:pPr>
        <w:pStyle w:val="BodyText"/>
      </w:pPr>
      <w:r>
        <w:rPr>
          <w:i/>
          <w:iCs/>
        </w:rPr>
        <w:t xml:space="preserve">Exploratory / practitioner-outcome register. The paper proposes a structural account of canonical persistence and locates its empirically testable content in the proxy feature program of Brink 2026a § 4.4; it does not itself constitute a formal proof. One testable sub-claim — posthumous canonical rehabilitation correlates with recognition of kernel-level confrontation — is stated in § 5 and tracked at</w:t>
      </w:r>
      <w:r>
        <w:rPr>
          <w:i/>
          <w:iCs/>
        </w:rPr>
        <w:t xml:space="preserve"> </w:t>
      </w:r>
      <w:hyperlink r:id="rId9">
        <w:r>
          <w:rPr>
            <w:rStyle w:val="VerbatimChar"/>
            <w:i/>
            <w:iCs/>
          </w:rPr>
          <w:t xml:space="preserve">validation/claims/posthumous-canonization.md</w:t>
        </w:r>
      </w:hyperlink>
      <w:r>
        <w:rPr>
          <w:i/>
          <w:iCs/>
        </w:rPr>
        <w:t xml:space="preserve">.</w:t>
      </w:r>
    </w:p>
    <w:p>
      <w:pPr>
        <w:pStyle w:val="BodyText"/>
      </w:pPr>
      <w:r>
        <w:rPr>
          <w:i/>
          <w:iCs/>
        </w:rPr>
        <w:t xml:space="preserve">Working draft — companion paper.</w:t>
      </w:r>
    </w:p>
    <w:bookmarkStart w:id="10" w:name="abstract"/>
    <w:p>
      <w:pPr>
        <w:pStyle w:val="Heading2"/>
      </w:pPr>
      <w:r>
        <w:t xml:space="preserve">Abstract</w:t>
      </w:r>
    </w:p>
    <w:p>
      <w:pPr>
        <w:pStyle w:val="FirstParagraph"/>
      </w:pPr>
      <w:r>
        <w:t xml:space="preserve">Canonical works are conventionally understood through evaluative, historical, or sociological frameworks — as products of genius, cultural consensus, or institutional power. This paper proposes a structural account. Drawing on the kernel/comma topology developed in FalseWork’s formal framework, it argues that canonical status is a consequence of direct practitioner confrontation with a domain’s generative operation (the kernel) at the point where that operation encounters its own limit (the comma). This confrontation produces an energy differential that distinguishes canonical from competent but non-canonical work — a differential phenomenologically reported by practitioners, critics, and audiences, and proposed here as a measurable property that the framework’s proxy feature program is positioned to evaluate. The paper relocates Harold Bloom’s concept of agon from the interpersonal — the anxiety of influence between strong poets — to the structural: the struggle is not against a precursor but against the kernel’s self-limitation. Canonical works persist not because they resolve the agon but because they instantiate a constraint that remains operative. The comma they confront stays open. Competent work, by contrast, operates within the territory that prior canonical confrontation has already opened, inheriting its results without encountering the resistance that produced them.</w:t>
      </w:r>
    </w:p>
    <w:bookmarkEnd w:id="10"/>
    <w:bookmarkStart w:id="11" w:name="the-problem-of-canonical-persistence"/>
    <w:p>
      <w:pPr>
        <w:pStyle w:val="Heading2"/>
      </w:pPr>
      <w:r>
        <w:t xml:space="preserve">1. The Problem of Canonical Persistence</w:t>
      </w:r>
    </w:p>
    <w:p>
      <w:pPr>
        <w:pStyle w:val="FirstParagraph"/>
      </w:pPr>
      <w:r>
        <w:t xml:space="preserve">Why do certain works sustain engagement across centuries while formally comparable works do not? The standard answers — genius, cultural authority, institutional reproduction — describe mechanisms of transmission but not what is being transmitted. A canon maintained purely by institutional inertia would degrade. Works would lose force as the institutions that promoted them changed. But the opposite occurs: canonical works routinely survive the collapse of the institutional contexts that first elevated them. Bach was neglected for eighty years and returned with undiminished force. El Greco was dismissed for three centuries. The Homeric epics predate every institution that has subsequently claimed them.</w:t>
      </w:r>
    </w:p>
    <w:p>
      <w:pPr>
        <w:pStyle w:val="BodyText"/>
      </w:pPr>
      <w:r>
        <w:t xml:space="preserve">This durability suggests that canonical persistence is not primarily a sociological phenomenon. Something structural is being preserved — something the work itself instantiates that remains operative regardless of reception context.</w:t>
      </w:r>
    </w:p>
    <w:bookmarkEnd w:id="11"/>
    <w:bookmarkStart w:id="12" w:name="the-kernel-and-the-comma"/>
    <w:p>
      <w:pPr>
        <w:pStyle w:val="Heading2"/>
      </w:pPr>
      <w:r>
        <w:t xml:space="preserve">2. The Kernel and the Comma</w:t>
      </w:r>
    </w:p>
    <w:p>
      <w:pPr>
        <w:pStyle w:val="FirstParagraph"/>
      </w:pPr>
      <w:r>
        <w:t xml:space="preserve">The FalseWork framework (see Brink 2026a) identifies the generative core of any domain as a kernel: a minimal, self-limiting operation that produces the domain’s constitutive material while simultaneously generating a structural gap it cannot close. This irresolvable gap is the comma.</w:t>
      </w:r>
    </w:p>
    <w:p>
      <w:pPr>
        <w:pStyle w:val="BodyText"/>
      </w:pPr>
      <w:r>
        <w:t xml:space="preserve">In tonal music, the kernel is the operation of departure and return through the cycle of fifths. The comma is the Pythagorean comma — the irreducible discrepancy between twelve stacked perfect fifths and seven octaves. The generative operation that produces tonal space also produces an excess it cannot absorb. Equal temperament manages this excess but does not eliminate it; it distributes the comma across all intervals.</w:t>
      </w:r>
    </w:p>
    <w:p>
      <w:pPr>
        <w:pStyle w:val="BodyText"/>
      </w:pPr>
      <w:r>
        <w:t xml:space="preserve">In pictorial representation, the kernel is the projection of three-dimensional spatial relations onto a two-dimensional surface. The comma is the irreducible gap between depicted space and the material fact of the picture plane — a gap that perspectival systems organise but cannot close.</w:t>
      </w:r>
    </w:p>
    <w:p>
      <w:pPr>
        <w:pStyle w:val="BodyText"/>
      </w:pPr>
      <w:r>
        <w:t xml:space="preserve">In architecture, the kernel is the enclosure of habitable volume through structural means. The comma is the irreconcilable tension between spatial experience and structural logic — the fact that what a building does spatially and what it does structurally cannot be made identical.</w:t>
      </w:r>
    </w:p>
    <w:p>
      <w:pPr>
        <w:pStyle w:val="BodyText"/>
      </w:pPr>
      <w:r>
        <w:t xml:space="preserve">Every domain has this structure: a generative operation that simultaneously produces and limits.</w:t>
      </w:r>
    </w:p>
    <w:bookmarkEnd w:id="12"/>
    <w:bookmarkStart w:id="15" w:name="X1654d458dbc07ab7469b3fc95fbe4a1477c1f4e"/>
    <w:p>
      <w:pPr>
        <w:pStyle w:val="Heading2"/>
      </w:pPr>
      <w:r>
        <w:t xml:space="preserve">3. Confrontation and the Energy Differential</w:t>
      </w:r>
    </w:p>
    <w:p>
      <w:pPr>
        <w:pStyle w:val="FirstParagraph"/>
      </w:pPr>
      <w:r>
        <w:t xml:space="preserve">The central claim: practitioners who engage the kernel at its generative limit — where the comma is actively operative — encounter a structural resistance that produces energy. This energy is not merely metaphorical. Practitioners, critics, and audiences report registering a differential in density, intensity, and formal pressure when canonical work is compared to formally competent work that does not confront the kernel at its limit. The registration is currently phenomenological. Whether it corresponds to a measurable property of the works themselves is the testable version of the claim, and is what the proxy feature program developed in Brink 2026a Section 4.4 is positioned to evaluate. Candidate measurable correlates include mechanism density, constraint interdependency, and rate of structural departure from domain norms.</w:t>
      </w:r>
    </w:p>
    <w:p>
      <w:pPr>
        <w:pStyle w:val="BodyText"/>
      </w:pPr>
      <w:r>
        <w:t xml:space="preserve">Coltrane’s sheets of sound are the audible trace of a practitioner pressing harmonic movement past the point where tonal gravity can organise it. The energy is not expressive — Coltrane is not emoting. It is structural: the product of a generative operation (departure through harmonic substitution) encountering its own limit (the point at which substitution density collapses tonal reference entirely). The music’s intensity is generated by that confrontation, not applied to it.</w:t>
      </w:r>
    </w:p>
    <w:p>
      <w:pPr>
        <w:pStyle w:val="BodyText"/>
      </w:pPr>
      <w:r>
        <w:t xml:space="preserve">De Kooning’s</w:t>
      </w:r>
      <w:r>
        <w:t xml:space="preserve"> </w:t>
      </w:r>
      <w:r>
        <w:rPr>
          <w:i/>
          <w:iCs/>
        </w:rPr>
        <w:t xml:space="preserve">Woman</w:t>
      </w:r>
      <w:r>
        <w:t xml:space="preserve"> </w:t>
      </w:r>
      <w:r>
        <w:t xml:space="preserve">series embodies the same structure in the pictorial domain. The paintings were scraped back and restarted repeatedly over years — not because de Kooning was dissatisfied but because the figural and the gestural could not be reconciled. Each scraping produces a new surface that carries the trace of prior confrontations. The paintings’ energy — their extraordinary material density — is the accumulated residue of a kernel confronted at its limit.</w:t>
      </w:r>
    </w:p>
    <w:p>
      <w:pPr>
        <w:pStyle w:val="BodyText"/>
      </w:pPr>
      <w:r>
        <w:t xml:space="preserve">Bach’s</w:t>
      </w:r>
      <w:r>
        <w:t xml:space="preserve"> </w:t>
      </w:r>
      <w:r>
        <w:rPr>
          <w:i/>
          <w:iCs/>
        </w:rPr>
        <w:t xml:space="preserve">Art of Fugue</w:t>
      </w:r>
      <w:r>
        <w:t xml:space="preserve"> </w:t>
      </w:r>
      <w:r>
        <w:t xml:space="preserve">demonstrates the confrontation as systematic exhaustion. Where Coltrane pushes through the kernel’s limit by intensification, Bach approaches it by progressive elaboration — working the contrapuntal operation through every combinatorial possibility until the work itself stops, mid-fugue, at the precise point where the operation can go no further. The comma is made physically visible: an unfinished manuscript, a blank page where the next entry should be.</w:t>
      </w:r>
    </w:p>
    <w:p>
      <w:pPr>
        <w:pStyle w:val="BodyText"/>
      </w:pPr>
      <w:r>
        <w:t xml:space="preserve">In each case, the practitioner does not bring the energy to the work. The confrontation with the kernel’s limit produces the energy the work exhibits. The practitioner is the site of the confrontation, not its source.</w:t>
      </w:r>
    </w:p>
    <w:bookmarkStart w:id="13" w:name="the-competent-practitioner"/>
    <w:p>
      <w:pPr>
        <w:pStyle w:val="Heading3"/>
      </w:pPr>
      <w:r>
        <w:t xml:space="preserve">3.1 The Competent Practitioner</w:t>
      </w:r>
    </w:p>
    <w:p>
      <w:pPr>
        <w:pStyle w:val="FirstParagraph"/>
      </w:pPr>
      <w:r>
        <w:t xml:space="preserve">Competent work operates within the space that prior canonical confrontation has opened. A capable post-bop saxophonist and Coltrane are both navigating tonal harmony through substitution. The surface resemblance may be considerable. But the competent practitioner is working inside territory whose boundaries were established by someone else’s confrontation with the kernel. They inherit the results without encountering the resistance.</w:t>
      </w:r>
    </w:p>
    <w:p>
      <w:pPr>
        <w:pStyle w:val="BodyText"/>
      </w:pPr>
      <w:r>
        <w:t xml:space="preserve">This is not a value judgment about craftsmanship. Competent work may be technically superior to canonical work by conventional measures. The distinction is structural: competent work does not engage the kernel at its generative limit and therefore does not produce the energy differential that canonical confrontation generates.</w:t>
      </w:r>
    </w:p>
    <w:p>
      <w:pPr>
        <w:pStyle w:val="BodyText"/>
      </w:pPr>
      <w:r>
        <w:t xml:space="preserve">This explains a persistent puzzle in criticism: why technically accomplished work often feels inert while rougher, more turbulent work sustains engagement. The turbulence is not a stylistic choice. It is the trace of structural resistance — the energy produced when a practitioner presses into the comma rather than working within the space the comma has already shaped.</w:t>
      </w:r>
    </w:p>
    <w:bookmarkEnd w:id="13"/>
    <w:bookmarkStart w:id="14" w:name="the-repetition-problem"/>
    <w:p>
      <w:pPr>
        <w:pStyle w:val="Heading3"/>
      </w:pPr>
      <w:r>
        <w:t xml:space="preserve">3.2 The Repetition Problem</w:t>
      </w:r>
    </w:p>
    <w:p>
      <w:pPr>
        <w:pStyle w:val="FirstParagraph"/>
      </w:pPr>
      <w:r>
        <w:t xml:space="preserve">Kernel-level confrontation characteristically produces serial return. Picasso painted studies for</w:t>
      </w:r>
      <w:r>
        <w:t xml:space="preserve"> </w:t>
      </w:r>
      <w:r>
        <w:rPr>
          <w:i/>
          <w:iCs/>
        </w:rPr>
        <w:t xml:space="preserve">Les Demoiselles d’Avignon</w:t>
      </w:r>
      <w:r>
        <w:t xml:space="preserve"> </w:t>
      </w:r>
      <w:r>
        <w:t xml:space="preserve">obsessively before and reworked the picture’s logic for years afterward. Munch produced four distinct versions of</w:t>
      </w:r>
      <w:r>
        <w:t xml:space="preserve"> </w:t>
      </w:r>
      <w:r>
        <w:rPr>
          <w:i/>
          <w:iCs/>
        </w:rPr>
        <w:t xml:space="preserve">The Scream</w:t>
      </w:r>
      <w:r>
        <w:t xml:space="preserve"> </w:t>
      </w:r>
      <w:r>
        <w:t xml:space="preserve">across lithograph, tempera, pastel, and oil over a seventeen-year span. Beethoven’s sketchbooks show the same thematic material reworked hundreds of times. Cézanne painted Mont Sainte-Victoire more than thirty times.</w:t>
      </w:r>
    </w:p>
    <w:p>
      <w:pPr>
        <w:pStyle w:val="BodyText"/>
      </w:pPr>
      <w:r>
        <w:t xml:space="preserve">This is conventionally narrated as artistic obsession — a psychological trait of exceptional practitioners. The structural account proposes an alternative: the practitioner returns because the kernel’s self-limitation means the confrontation cannot resolve. Each instantiation generates the next because the comma remains open. The repetition is not driven by psychology; it is produced by the topology. The kernel fires, encounters its limit, and the encounter generates conditions that re-engage the kernel.</w:t>
      </w:r>
    </w:p>
    <w:p>
      <w:pPr>
        <w:pStyle w:val="BodyText"/>
      </w:pPr>
      <w:r>
        <w:t xml:space="preserve">Whether the structural account reframes psychology or merely renames it turns on whether the two accounts are empirically distinguishable. The paper proposes the structural account as more parsimonious — it explains serial return without requiring that exceptional practitioners all share the same unusual psychological trait — but acknowledges that the psychological and structural readings are observationally adjacent. The falsifying test would be identifying works that exhibit kernel-level confrontation without serial return, or works that exhibit serial return without kernel-level confrontation. Both are available in principle; neither has been systematically tested. What appears as obsession is, on the structural account, the phenomenology of operating at the generative limit of a self-limiting operation. Whether that phenomenology has a non-structural correlate is an open empirical question.</w:t>
      </w:r>
    </w:p>
    <w:bookmarkEnd w:id="14"/>
    <w:bookmarkEnd w:id="15"/>
    <w:bookmarkStart w:id="17" w:name="blooms-agon-relocated"/>
    <w:p>
      <w:pPr>
        <w:pStyle w:val="Heading2"/>
      </w:pPr>
      <w:r>
        <w:t xml:space="preserve">4. Bloom’s Agon Relocated</w:t>
      </w:r>
    </w:p>
    <w:p>
      <w:pPr>
        <w:pStyle w:val="FirstParagraph"/>
      </w:pPr>
      <w:r>
        <w:t xml:space="preserve">Harold Bloom’s theory of poetic influence proposes that strong poets achieve canonical status through agonistic struggle against precursors. The anxiety of influence drives revisionary ratios — clinamen, tessera, kenosis, daemonization, askesis, apophrades — through which the later poet misreads the precursor to clear imaginative space. The agon is interpersonal: poet against poet, strength against strength.</w:t>
      </w:r>
    </w:p>
    <w:p>
      <w:pPr>
        <w:pStyle w:val="BodyText"/>
      </w:pPr>
      <w:r>
        <w:t xml:space="preserve">Bloom’s identification of agon as the mechanism of canonical production is structurally sound. His location of it is not. The struggle is not against Milton. It is against the generative constraint that Milton happened to confront visibly enough to leave a trace. The precursor is not the opponent; the precursor is evidence that the kernel’s limit can be engaged and survived. What Bloom reads as competitive anxiety is actually navigational orientation — the later practitioner locating where the kernel’s limit was last encountered in order to confront it themselves.</w:t>
      </w:r>
    </w:p>
    <w:p>
      <w:pPr>
        <w:pStyle w:val="BodyText"/>
      </w:pPr>
      <w:r>
        <w:t xml:space="preserve">This relocation preserves what Bloom gets right — the centrality of struggle, the non-arbitrary structure of canonical sequences, the inadequacy of merely sociological accounts — while eliminating what he gets wrong: the psychologisation of a structural condition, the implicit masculinist framing of combat between strong poets, and the limited reach of the interpersonal agon model in domains where canonical production is more obviously constrained by the kernel than by a precursor person — paradigmatically mathematics and architecture, and, on the evidence of the Korsyn–Straus programme of Bloomian musicology and its critics, music as well. Korsyn (1991) reads Brahms’s Op. 118 No. 5 as a Bloomian misreading of Chopin; Straus (1990) applies the six revisionary ratios systematically to Stravinsky, Schoenberg, and Bartók. Both analyses are productive, but both recurrently strain toward structural vocabulary — tonal tradition as constraint system, modernism as confrontation with the exhausted materials of the common-practice kernel — at the moments where the interpersonal reading is least load-bearing. Read on the account proposed here, the Korsyn–Straus programme is not a domain in which Bloom’s model succeeds; it is the literature that most clearly documents the pressure toward the structural relocation this paper names directly.</w:t>
      </w:r>
    </w:p>
    <w:bookmarkStart w:id="16" w:name="X77d5b7870e327277d5112c809892e657cdd7223"/>
    <w:p>
      <w:pPr>
        <w:pStyle w:val="Heading3"/>
      </w:pPr>
      <w:r>
        <w:t xml:space="preserve">4.1 The Revisionary Ratios as Positional Navigation</w:t>
      </w:r>
    </w:p>
    <w:p>
      <w:pPr>
        <w:pStyle w:val="FirstParagraph"/>
      </w:pPr>
      <w:r>
        <w:t xml:space="preserve">Bloom’s six revisionary ratios describe how later poets position themselves relative to precursors. In the structural account, these become navigational modes within the topology that the kernel’s self-limitation produces. They describe not strategies for defeating a predecessor but different ways of approaching the same generative limit:</w:t>
      </w:r>
    </w:p>
    <w:p>
      <w:pPr>
        <w:pStyle w:val="BodyText"/>
      </w:pPr>
      <w:r>
        <w:rPr>
          <w:b/>
          <w:bCs/>
        </w:rPr>
        <w:t xml:space="preserve">Clinamen (swerve):</w:t>
      </w:r>
      <w:r>
        <w:t xml:space="preserve"> </w:t>
      </w:r>
      <w:r>
        <w:t xml:space="preserve">The practitioner engages the kernel at a different angle than the precursor, finding a new approach to the same limit. This corresponds to lateral repositioning within the kernel’s topology.</w:t>
      </w:r>
    </w:p>
    <w:p>
      <w:pPr>
        <w:pStyle w:val="BodyText"/>
      </w:pPr>
      <w:r>
        <w:rPr>
          <w:b/>
          <w:bCs/>
        </w:rPr>
        <w:t xml:space="preserve">Tessera (completion):</w:t>
      </w:r>
      <w:r>
        <w:t xml:space="preserve"> </w:t>
      </w:r>
      <w:r>
        <w:t xml:space="preserve">The practitioner extends the precursor’s confrontation, pressing further into the same region of the kernel’s limit. The precursor’s work is treated as partial — not because it failed, but because the comma cannot close.</w:t>
      </w:r>
    </w:p>
    <w:p>
      <w:pPr>
        <w:pStyle w:val="BodyText"/>
      </w:pPr>
      <w:r>
        <w:rPr>
          <w:b/>
          <w:bCs/>
        </w:rPr>
        <w:t xml:space="preserve">Kenosis (emptying):</w:t>
      </w:r>
      <w:r>
        <w:t xml:space="preserve"> </w:t>
      </w:r>
      <w:r>
        <w:t xml:space="preserve">The practitioner strips back to confront the kernel with less apparatus, fewer inherited strategies. A movement toward the kernel’s bare operation.</w:t>
      </w:r>
    </w:p>
    <w:p>
      <w:pPr>
        <w:pStyle w:val="BodyText"/>
      </w:pPr>
      <w:r>
        <w:rPr>
          <w:b/>
          <w:bCs/>
        </w:rPr>
        <w:t xml:space="preserve">Daemonization (counter-sublime):</w:t>
      </w:r>
      <w:r>
        <w:t xml:space="preserve"> </w:t>
      </w:r>
      <w:r>
        <w:t xml:space="preserve">The practitioner reopens a dimension of the kernel’s operation that the precursor’s confrontation appeared to have resolved. The comma is shown to be still open where it seemed closed.</w:t>
      </w:r>
    </w:p>
    <w:p>
      <w:pPr>
        <w:pStyle w:val="BodyText"/>
      </w:pPr>
      <w:r>
        <w:rPr>
          <w:b/>
          <w:bCs/>
        </w:rPr>
        <w:t xml:space="preserve">Askesis (self-curtailment):</w:t>
      </w:r>
      <w:r>
        <w:t xml:space="preserve"> </w:t>
      </w:r>
      <w:r>
        <w:t xml:space="preserve">The practitioner deliberately narrows the field of confrontation, engaging a smaller region of the kernel’s limit with greater intensity.</w:t>
      </w:r>
    </w:p>
    <w:p>
      <w:pPr>
        <w:pStyle w:val="BodyText"/>
      </w:pPr>
      <w:r>
        <w:rPr>
          <w:b/>
          <w:bCs/>
        </w:rPr>
        <w:t xml:space="preserve">Apophrades (return of the dead):</w:t>
      </w:r>
      <w:r>
        <w:t xml:space="preserve"> </w:t>
      </w:r>
      <w:r>
        <w:t xml:space="preserve">The precursor’s confrontation is so fully absorbed that the later practitioner appears to have preceded them. The topology is navigated with such completeness that the sequence appears reversed.</w:t>
      </w:r>
    </w:p>
    <w:p>
      <w:pPr>
        <w:pStyle w:val="BodyText"/>
      </w:pPr>
      <w:r>
        <w:t xml:space="preserve">These six modes may reduce to — or map productively onto — the five FalseWork positions (Infrastructure, Distribution, Exploitation, Commitment, Refusal). That mapping is beyond the scope of this paper but represents a significant line of further investigation.</w:t>
      </w:r>
    </w:p>
    <w:bookmarkEnd w:id="16"/>
    <w:bookmarkEnd w:id="17"/>
    <w:bookmarkStart w:id="18" w:name="what-makes-work-canonical"/>
    <w:p>
      <w:pPr>
        <w:pStyle w:val="Heading2"/>
      </w:pPr>
      <w:r>
        <w:t xml:space="preserve">5. What Makes Work Canonical</w:t>
      </w:r>
    </w:p>
    <w:p>
      <w:pPr>
        <w:pStyle w:val="FirstParagraph"/>
      </w:pPr>
      <w:r>
        <w:t xml:space="preserve">The structural account yields a definition: canonical work is work that engages a domain’s kernel at its generative limit and leaves a legible trace of that engagement.</w:t>
      </w:r>
    </w:p>
    <w:p>
      <w:pPr>
        <w:pStyle w:val="BodyText"/>
      </w:pPr>
      <w:r>
        <w:t xml:space="preserve">This definition has several consequences:</w:t>
      </w:r>
    </w:p>
    <w:p>
      <w:pPr>
        <w:pStyle w:val="BodyText"/>
      </w:pPr>
      <w:r>
        <w:rPr>
          <w:b/>
          <w:bCs/>
        </w:rPr>
        <w:t xml:space="preserve">Canonical status is not evaluative.</w:t>
      </w:r>
      <w:r>
        <w:t xml:space="preserve"> </w:t>
      </w:r>
      <w:r>
        <w:t xml:space="preserve">To say a work is canonical is not to say it is</w:t>
      </w:r>
      <w:r>
        <w:t xml:space="preserve"> </w:t>
      </w:r>
      <w:r>
        <w:t xml:space="preserve">“good”</w:t>
      </w:r>
      <w:r>
        <w:t xml:space="preserve"> </w:t>
      </w:r>
      <w:r>
        <w:t xml:space="preserve">in any aesthetic or moral sense. It is to say that the work instantiates a structural confrontation that remains operative. The distinction is topological, not hierarchical.</w:t>
      </w:r>
    </w:p>
    <w:p>
      <w:pPr>
        <w:pStyle w:val="BodyText"/>
      </w:pPr>
      <w:r>
        <w:rPr>
          <w:b/>
          <w:bCs/>
        </w:rPr>
        <w:t xml:space="preserve">Canonical works persist because the comma they confront stays open.</w:t>
      </w:r>
      <w:r>
        <w:t xml:space="preserve"> </w:t>
      </w:r>
      <w:r>
        <w:t xml:space="preserve">The reason people keep returning to Bach, to Cézanne, to Coltrane is not tradition or institutional inertia. It is that the structural gap these works engage has not closed and cannot close. Each return is a fresh encounter with an operative constraint. The work remains generative because the kernel remains self-limiting.</w:t>
      </w:r>
    </w:p>
    <w:p>
      <w:pPr>
        <w:pStyle w:val="BodyText"/>
      </w:pPr>
      <w:r>
        <w:rPr>
          <w:b/>
          <w:bCs/>
        </w:rPr>
        <w:t xml:space="preserve">Competent work does not fail; it simply does not confront.</w:t>
      </w:r>
      <w:r>
        <w:t xml:space="preserve"> </w:t>
      </w:r>
      <w:r>
        <w:t xml:space="preserve">The gap between canonical and non-canonical work is not a gap in quality, ambition, or skill. It is a gap in where the work operates relative to the kernel’s topology. Competent work operates within opened territory. Canonical work operates at the boundary where new territory is being structurally produced.</w:t>
      </w:r>
    </w:p>
    <w:p>
      <w:pPr>
        <w:pStyle w:val="BodyText"/>
      </w:pPr>
      <w:r>
        <w:rPr>
          <w:b/>
          <w:bCs/>
        </w:rPr>
        <w:t xml:space="preserve">Canonical sequences exhibit non-arbitrary structure under analysis.</w:t>
      </w:r>
      <w:r>
        <w:t xml:space="preserve"> </w:t>
      </w:r>
      <w:r>
        <w:t xml:space="preserve">When a canonical sequence is constructed — by historians, critics, or practitioners — it typically exhibits non-arbitrary structural logic: each confrontation engages the comma at the point where the prior confrontation left it most visibly operative. The progression from Bach to Beethoven to Wagner to Schoenberg to Coltrane is one such construction and exhibits this structural logic under analysis. Other constructions are possible — Bach to Brahms to Webern, Bach to Monk to Braxton — and would yield different but analogously structured sequences. Whether this is a property of what historians select or of the kernel’s topology constraining what is selectable as canonical is a question the paper identifies but does not resolve. The weaker claim the paper commits to: canonical sequences, once constructed, exhibit structural logic that the kernel/comma topology illuminates.</w:t>
      </w:r>
    </w:p>
    <w:p>
      <w:pPr>
        <w:pStyle w:val="BodyText"/>
      </w:pPr>
      <w:r>
        <w:rPr>
          <w:b/>
          <w:bCs/>
        </w:rPr>
        <w:t xml:space="preserve">The energy differential is diagnostic.</w:t>
      </w:r>
      <w:r>
        <w:t xml:space="preserve"> </w:t>
      </w:r>
      <w:r>
        <w:t xml:space="preserve">If canonical status is the trace of kernel-level confrontation, and that confrontation produces a structurally generated energy differential, then the presence or absence of that energy is evidence — not proof, but evidence — of whether a work is engaging the kernel at its limit. This is what experienced critics are detecting when they distinguish significant from merely accomplished work, even when they cannot articulate the basis for the distinction. The proxy feature program (Brink 2026a) proposes that this diagnostic capacity can be partially operationalized through measurable formal properties; the extent to which it can be fully operationalized is an open empirical question.</w:t>
      </w:r>
    </w:p>
    <w:bookmarkEnd w:id="18"/>
    <w:bookmarkStart w:id="19" w:name="the-practitioner-as-site"/>
    <w:p>
      <w:pPr>
        <w:pStyle w:val="Heading2"/>
      </w:pPr>
      <w:r>
        <w:t xml:space="preserve">6. The Practitioner as Site</w:t>
      </w:r>
    </w:p>
    <w:p>
      <w:pPr>
        <w:pStyle w:val="FirstParagraph"/>
      </w:pPr>
      <w:r>
        <w:t xml:space="preserve">A final structural consequence: the practitioner is the site of the confrontation, not its author.</w:t>
      </w:r>
    </w:p>
    <w:p>
      <w:pPr>
        <w:pStyle w:val="BodyText"/>
      </w:pPr>
      <w:r>
        <w:t xml:space="preserve">This is not a mystical claim about inspiration. It is a direct consequence of locating the generative operation in the kernel rather than the individual.</w:t>
      </w:r>
    </w:p>
    <w:p>
      <w:pPr>
        <w:pStyle w:val="BodyText"/>
      </w:pPr>
      <w:r>
        <w:t xml:space="preserve">Picasso did not invent the collision between perspectival coherence and African sculptural logic. He was positioned — by training, by historical moment, by the specific state of the pictorial kernel in 1907 — at a point where that collision could occur through him. The confrontation required a practitioner. It did not require Picasso specifically. But it required someone who had absorbed enough of the kernel’s prior operations to engage it at its current limit.</w:t>
      </w:r>
    </w:p>
    <w:p>
      <w:pPr>
        <w:pStyle w:val="BodyText"/>
      </w:pPr>
      <w:r>
        <w:t xml:space="preserve">This is what distinguishes the structural account from the genius model. The genius model requires that the practitioner be exceptional as an individual. The structural account requires only that the practitioner be positioned at the generative limit and willing to sustain the confrontation. The energy comes from the kernel, not the person. The canonical trace is left by the confrontation, not the confronter.</w:t>
      </w:r>
    </w:p>
    <w:p>
      <w:pPr>
        <w:pStyle w:val="BodyText"/>
      </w:pPr>
      <w:r>
        <w:t xml:space="preserve">Which raises a question this paper can note but not resolve: if the practitioner is the site rather than the source, then the conditions that position a practitioner at the kernel’s limit — training, historical circumstance, access to the domain’s accumulated confrontations — are themselves structural. The sociology of canonical production returns, but at a different level: not as an explanation of what makes work canonical, but as an account of what makes kernel-level confrontation possible or impossible for a given practitioner at a given moment.</w:t>
      </w:r>
    </w:p>
    <w:bookmarkEnd w:id="19"/>
    <w:bookmarkStart w:id="20" w:name="open-questions"/>
    <w:p>
      <w:pPr>
        <w:pStyle w:val="Heading2"/>
      </w:pPr>
      <w:r>
        <w:t xml:space="preserve">7. Open Questions</w:t>
      </w:r>
    </w:p>
    <w:p>
      <w:pPr>
        <w:pStyle w:val="FirstParagraph"/>
      </w:pPr>
      <w:r>
        <w:t xml:space="preserve">This paper is exploratory. Several lines require development:</w:t>
      </w:r>
    </w:p>
    <w:p>
      <w:pPr>
        <w:pStyle w:val="BodyText"/>
      </w:pPr>
      <w:r>
        <w:rPr>
          <w:b/>
          <w:bCs/>
        </w:rPr>
        <w:t xml:space="preserve">The five-position mapping.</w:t>
      </w:r>
      <w:r>
        <w:t xml:space="preserve"> </w:t>
      </w:r>
      <w:r>
        <w:t xml:space="preserve">If the five FalseWork positions (Infrastructure, Distribution, Exploitation, Commitment, Refusal) describe different structural locations within the kernel’s topology, do they also describe different modes of canonical confrontation? Does an Infrastructure practitioner confront the kernel differently than a Refusal practitioner? The examples suggest yes: Bach’s systematic exhaustion (Infrastructure) and late Beckett’s formal negation (Refusal) are both canonical, but the shape of the confrontation — and therefore the energy signature of the trace — differs substantially.</w:t>
      </w:r>
    </w:p>
    <w:p>
      <w:pPr>
        <w:pStyle w:val="BodyText"/>
      </w:pPr>
      <w:r>
        <w:rPr>
          <w:b/>
          <w:bCs/>
        </w:rPr>
        <w:t xml:space="preserve">Bloom’s ratios and the five positions.</w:t>
      </w:r>
      <w:r>
        <w:t xml:space="preserve"> </w:t>
      </w:r>
      <w:r>
        <w:t xml:space="preserve">The six revisionary ratios may map onto, reduce to, or cross-cut the five FalseWork positions. This requires sustained formal work.</w:t>
      </w:r>
    </w:p>
    <w:p>
      <w:pPr>
        <w:pStyle w:val="BodyText"/>
      </w:pPr>
      <w:r>
        <w:rPr>
          <w:b/>
          <w:bCs/>
        </w:rPr>
        <w:t xml:space="preserve">Cross-domain invariance.</w:t>
      </w:r>
      <w:r>
        <w:t xml:space="preserve"> </w:t>
      </w:r>
      <w:r>
        <w:t xml:space="preserve">If the kernel/comma structure is domain-invariant (as Brink 2026a argues), is the mechanism of canonical production also invariant? Does canonical architecture confront its kernel in the same structural way that canonical music confronts its kernel? The examples in this paper suggest structural analogy but not identity.</w:t>
      </w:r>
    </w:p>
    <w:p>
      <w:pPr>
        <w:pStyle w:val="BodyText"/>
      </w:pPr>
      <w:r>
        <w:rPr>
          <w:b/>
          <w:bCs/>
        </w:rPr>
        <w:t xml:space="preserve">The Cantor connection.</w:t>
      </w:r>
      <w:r>
        <w:t xml:space="preserve"> </w:t>
      </w:r>
      <w:r>
        <w:t xml:space="preserve">The distinction-operation paper (Brink 2026c) develops Cantor’s diagonal argument and power set theorem as formal grounding for the comma’s irresolvability at Level 1 of the distinction operation’s instantiation hierarchy. The mathematics-as-comma paper (Brink 2026d) extends this to Level 0. If the comma is formally irresolvable at every level — as Cantor demonstrates for the gap between a set and its power set — then canonical persistence has a mathematical basis: works that confront the comma remain operative because the comma is provably unclosable. This line requires the formal validation flagged in Brink 2026c Section 10.</w:t>
      </w:r>
    </w:p>
    <w:p>
      <w:pPr>
        <w:pStyle w:val="BodyText"/>
      </w:pPr>
      <w:r>
        <w:rPr>
          <w:b/>
          <w:bCs/>
        </w:rPr>
        <w:t xml:space="preserve">Posthumous and delayed canonisation.</w:t>
      </w:r>
      <w:r>
        <w:t xml:space="preserve"> </w:t>
      </w:r>
      <w:r>
        <w:t xml:space="preserve">The structural account predicts that works engaging the kernel at its limit will eventually achieve canonical recognition regardless of initial reception, because the structural trace they carry remains detectable. Bach’s eighty-year neglect and subsequent return, El Greco’s three-century rehabilitation, and similar cases are not anomalies but expected consequences. This prediction is testable against the historical record. The falsification condition is identification of works that exhibit structural markers of kernel-level confrontation — comparable to Bach, El Greco, or other canonical cases — but that have not been recovered by canonical reception despite sufficient elapsed time. Systematic testing of this condition requires the proxy feature program’s structural markers to be developed at sufficient resolution to make the identification independently of reception history.</w:t>
      </w:r>
    </w:p>
    <w:p>
      <w:pPr>
        <w:pStyle w:val="BodyText"/>
      </w:pPr>
      <w:r>
        <w:rPr>
          <w:b/>
          <w:bCs/>
        </w:rPr>
        <w:t xml:space="preserve">The competent practitioner’s role.</w:t>
      </w:r>
      <w:r>
        <w:t xml:space="preserve"> </w:t>
      </w:r>
      <w:r>
        <w:t xml:space="preserve">This paper frames competent work as structurally distinct from canonical work. But competent practitioners are not irrelevant to canonical sequences. They may function as the medium through which a kernel’s prior confrontations are transmitted, maintained, and made available for the next canonical confrontation. This is a distribution function — and may correspond directly to the Distribution position.</w:t>
      </w:r>
    </w:p>
    <w:bookmarkEnd w:id="20"/>
    <w:bookmarkStart w:id="21" w:name="references"/>
    <w:p>
      <w:pPr>
        <w:pStyle w:val="Heading2"/>
      </w:pPr>
      <w:r>
        <w:t xml:space="preserve">References</w:t>
      </w:r>
    </w:p>
    <w:p>
      <w:pPr>
        <w:pStyle w:val="FirstParagraph"/>
      </w:pPr>
      <w:r>
        <w:t xml:space="preserve">Bloom, H. (1973).</w:t>
      </w:r>
      <w:r>
        <w:t xml:space="preserve"> </w:t>
      </w:r>
      <w:r>
        <w:rPr>
          <w:i/>
          <w:iCs/>
        </w:rPr>
        <w:t xml:space="preserve">The Anxiety of Influence</w:t>
      </w:r>
      <w:r>
        <w:t xml:space="preserve">. Oxford University Press.</w:t>
      </w:r>
    </w:p>
    <w:p>
      <w:pPr>
        <w:pStyle w:val="BodyText"/>
      </w:pPr>
      <w:r>
        <w:t xml:space="preserve">Bloom, H. (1994).</w:t>
      </w:r>
      <w:r>
        <w:t xml:space="preserve"> </w:t>
      </w:r>
      <w:r>
        <w:rPr>
          <w:i/>
          <w:iCs/>
        </w:rPr>
        <w:t xml:space="preserve">The Western Canon</w:t>
      </w:r>
      <w:r>
        <w:t xml:space="preserve">. Harcourt Brace.</w:t>
      </w:r>
    </w:p>
    <w:p>
      <w:pPr>
        <w:pStyle w:val="BodyText"/>
      </w:pPr>
      <w:r>
        <w:t xml:space="preserve">Brink, C. (2026a). Kernels and commas: A structural derivation of universal positions in domains with self-limiting generative operations.</w:t>
      </w:r>
      <w:r>
        <w:t xml:space="preserve"> </w:t>
      </w:r>
      <w:r>
        <w:rPr>
          <w:i/>
          <w:iCs/>
        </w:rPr>
        <w:t xml:space="preserve">The FalseWork Papers</w:t>
      </w:r>
      <w:r>
        <w:t xml:space="preserve">. https://github.com/thefalsework/papers/blob/main/papers/paper1-kernels-and-commas/paper1.md</w:t>
      </w:r>
    </w:p>
    <w:p>
      <w:pPr>
        <w:pStyle w:val="BodyText"/>
      </w:pPr>
      <w:r>
        <w:t xml:space="preserve">Brink, C. (2026b). Epistemic dependency as structural condition: A documented case study of AI-assisted scholarship and the maturity of correction mechanisms.</w:t>
      </w:r>
      <w:r>
        <w:t xml:space="preserve"> </w:t>
      </w:r>
      <w:r>
        <w:rPr>
          <w:i/>
          <w:iCs/>
        </w:rPr>
        <w:t xml:space="preserve">The FalseWork Papers</w:t>
      </w:r>
      <w:r>
        <w:t xml:space="preserve">. https://github.com/thefalsework/papers/blob/main/papers/paper2-epistemic-dependency/paper2.md</w:t>
      </w:r>
    </w:p>
    <w:p>
      <w:pPr>
        <w:pStyle w:val="BodyText"/>
      </w:pPr>
      <w:r>
        <w:t xml:space="preserve">Brink, C. (2026c). The distinction operation and the generative floor: Spencer-Brown, Cantor, and the categorical form of incompleteness.</w:t>
      </w:r>
      <w:r>
        <w:t xml:space="preserve"> </w:t>
      </w:r>
      <w:r>
        <w:rPr>
          <w:i/>
          <w:iCs/>
        </w:rPr>
        <w:t xml:space="preserve">The FalseWork Papers</w:t>
      </w:r>
      <w:r>
        <w:t xml:space="preserve">. https://github.com/thefalsework/papers/blob/main/papers/paper3-distinction-operation/paper3.md</w:t>
      </w:r>
    </w:p>
    <w:p>
      <w:pPr>
        <w:pStyle w:val="BodyText"/>
      </w:pPr>
      <w:r>
        <w:t xml:space="preserve">Brink, C. (2026d). Mathematics as comma: The distinction operation and the unreasonable effectiveness of formal systems.</w:t>
      </w:r>
      <w:r>
        <w:t xml:space="preserve"> </w:t>
      </w:r>
      <w:r>
        <w:rPr>
          <w:i/>
          <w:iCs/>
        </w:rPr>
        <w:t xml:space="preserve">The FalseWork Papers</w:t>
      </w:r>
      <w:r>
        <w:t xml:space="preserve">. https://github.com/thefalsework/papers/blob/main/papers/paper4-mathematics-as-comma/paper4.md</w:t>
      </w:r>
    </w:p>
    <w:p>
      <w:pPr>
        <w:pStyle w:val="BodyText"/>
      </w:pPr>
      <w:r>
        <w:t xml:space="preserve">Brink, C. (2026e). The Pythagorean comma, the irrationality of √2, and a shared Diophantine floor.</w:t>
      </w:r>
      <w:r>
        <w:t xml:space="preserve"> </w:t>
      </w:r>
      <w:r>
        <w:rPr>
          <w:i/>
          <w:iCs/>
        </w:rPr>
        <w:t xml:space="preserve">The FalseWork Papers</w:t>
      </w:r>
      <w:r>
        <w:t xml:space="preserve">. https://github.com/thefalsework/papers/blob/main/papers/pythagorean-shared-floor/pythagorean.md</w:t>
      </w:r>
    </w:p>
    <w:p>
      <w:pPr>
        <w:pStyle w:val="BodyText"/>
      </w:pPr>
      <w:r>
        <w:t xml:space="preserve">Korsyn, K. (1991). Towards a new poetics of musical influence.</w:t>
      </w:r>
      <w:r>
        <w:t xml:space="preserve"> </w:t>
      </w:r>
      <w:r>
        <w:rPr>
          <w:i/>
          <w:iCs/>
        </w:rPr>
        <w:t xml:space="preserve">Music Analysis</w:t>
      </w:r>
      <w:r>
        <w:t xml:space="preserve">, 10(1), 3–72.</w:t>
      </w:r>
    </w:p>
    <w:p>
      <w:pPr>
        <w:pStyle w:val="BodyText"/>
      </w:pPr>
      <w:r>
        <w:t xml:space="preserve">Spencer-Brown, G. (1969).</w:t>
      </w:r>
      <w:r>
        <w:t xml:space="preserve"> </w:t>
      </w:r>
      <w:r>
        <w:rPr>
          <w:i/>
          <w:iCs/>
        </w:rPr>
        <w:t xml:space="preserve">Laws of form</w:t>
      </w:r>
      <w:r>
        <w:t xml:space="preserve">. Allen &amp; Unwin.</w:t>
      </w:r>
    </w:p>
    <w:p>
      <w:pPr>
        <w:pStyle w:val="BodyText"/>
      </w:pPr>
      <w:r>
        <w:t xml:space="preserve">Straus, J. N. (1990).</w:t>
      </w:r>
      <w:r>
        <w:t xml:space="preserve"> </w:t>
      </w:r>
      <w:r>
        <w:rPr>
          <w:i/>
          <w:iCs/>
        </w:rPr>
        <w:t xml:space="preserve">Remaking the past: Musical modernism and the influence of the tonal tradition</w:t>
      </w:r>
      <w:r>
        <w:t xml:space="preserve">. Harvard University Press.</w:t>
      </w:r>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validation/claims/posthumous-canonization.md" TargetMode="External" /></Relationships>
</file>

<file path=word/_rels/footnotes.xml.rels><?xml version="1.0" encoding="UTF-8"?><Relationships xmlns="http://schemas.openxmlformats.org/package/2006/relationships"><Relationship Type="http://schemas.openxmlformats.org/officeDocument/2006/relationships/hyperlink" Id="rId9" Target="../../validation/claims/posthumous-canonizatio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2026-04-21T01:04:45Z</dcterms:created>
  <dcterms:modified xsi:type="dcterms:W3CDTF">2026-04-21T01:04:45Z</dcterms:modified>
</cp:coreProperties>
</file>

<file path=docProps/custom.xml><?xml version="1.0" encoding="utf-8"?>
<Properties xmlns="http://schemas.openxmlformats.org/officeDocument/2006/custom-properties" xmlns:vt="http://schemas.openxmlformats.org/officeDocument/2006/docPropsVTypes"/>
</file>