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Chris Brink</w:t>
      </w:r>
    </w:p>
    <w:p>
      <w:pPr>
        <w:pStyle w:val="BodyText"/>
      </w:pPr>
      <w:r>
        <w:t xml:space="preserve">FalseWork (falsework.dev)</w:t>
      </w:r>
    </w:p>
    <w:p>
      <w:pPr>
        <w:pStyle w:val="BodyText"/>
      </w:pPr>
      <w:r>
        <w:rPr>
          <w:i/>
          <w:iCs/>
        </w:rPr>
        <w:t xml:space="preserve">Version 1.3. Revisions from version 1.2: added a</w:t>
      </w:r>
      <w:r>
        <w:rPr>
          <w:i/>
          <w:iCs/>
        </w:rPr>
        <w:t xml:space="preserve"> </w:t>
      </w:r>
      <w:r>
        <w:t xml:space="preserve">Further reading — community resources* subsection to the References, naming the Xenharmonic Wiki (https://en.xen.wiki/) as a community reference for microtonal practice covering the 31-, 41-, and 53-TET systems discussed in §§ 2.2, 4.2, and 7.1. Pointer contributed by</w:t>
      </w:r>
      <w:r>
        <w:t xml:space="preserve"> </w:t>
      </w:r>
      <w:r>
        <w:rPr>
          <w:b/>
          <w:bCs/>
        </w:rPr>
        <w:t xml:space="preserve">suhr</w:t>
      </w:r>
      <w:r>
        <w:t xml:space="preserve"> </w:t>
      </w:r>
      <w:r>
        <w:t xml:space="preserve">via Lean Zulip (2026-04-19, same thread as the v1.2 corrections).*</w:t>
      </w:r>
    </w:p>
    <w:p>
      <w:pPr>
        <w:pStyle w:val="BodyText"/>
      </w:pPr>
      <w:r>
        <w:rPr>
          <w:i/>
          <w:iCs/>
        </w:rPr>
        <w:t xml:space="preserve">Version 1.2. Revisions from version 1.1: corrected the convergent sequence narration at § 2.2 (restoring the 24/41 convergent between 7/12 and 31/53 and the corresponding 41-TET); re-scoped the</w:t>
      </w:r>
      <w:r>
        <w:rPr>
          <w:i/>
          <w:iCs/>
        </w:rPr>
        <w:t xml:space="preserve"> </w:t>
      </w:r>
      <w:r>
        <w:rPr>
          <w:i/>
          <w:iCs/>
        </w:rPr>
        <w:t xml:space="preserve">“practically usable temperaments”</w:t>
      </w:r>
      <w:r>
        <w:rPr>
          <w:i/>
          <w:iCs/>
        </w:rPr>
        <w:t xml:space="preserve"> </w:t>
      </w:r>
      <w:r>
        <w:rPr>
          <w:i/>
          <w:iCs/>
        </w:rPr>
        <w:t xml:space="preserve">claim at §§ 2.2, 4.2, and 7.1 to</w:t>
      </w:r>
      <w:r>
        <w:rPr>
          <w:i/>
          <w:iCs/>
        </w:rPr>
        <w:t xml:space="preserve"> </w:t>
      </w:r>
      <w:r>
        <w:rPr>
          <w:i/>
          <w:iCs/>
        </w:rPr>
        <w:t xml:space="preserve">“equal temperaments that minimize the Pythagorean comma specifically,”</w:t>
      </w:r>
      <w:r>
        <w:rPr>
          <w:i/>
          <w:iCs/>
        </w:rPr>
        <w:t xml:space="preserve"> </w:t>
      </w:r>
      <w:r>
        <w:rPr>
          <w:i/>
          <w:iCs/>
        </w:rPr>
        <w:t xml:space="preserve">with explicit acknowledgement that microtonal practice (31-TET, 41-TET, and others) optimizes additional harmonic targets (5-, 7-, and 11-limit subgroups) that correspond to Baker-type problems over extended prime bases; removed the outdated claim that 53-TET is impractical for keyboard construction, noting Bosanquet’s 1875 generalized keyboard and modern instruments (Lumatone, Kite guitar). Corrections gratefully received from</w:t>
      </w:r>
      <w:r>
        <w:rPr>
          <w:i/>
          <w:iCs/>
        </w:rPr>
        <w:t xml:space="preserve"> </w:t>
      </w:r>
      <w:r>
        <w:rPr>
          <w:b/>
          <w:bCs/>
          <w:i/>
          <w:iCs/>
        </w:rPr>
        <w:t xml:space="preserve">suhr</w:t>
      </w:r>
      <w:r>
        <w:rPr>
          <w:i/>
          <w:iCs/>
        </w:rPr>
        <w:t xml:space="preserve"> </w:t>
      </w:r>
      <w:r>
        <w:rPr>
          <w:i/>
          <w:iCs/>
        </w:rPr>
        <w:t xml:space="preserve">via Lean Zulip (2026-04-19; topic permalink: https://leanprover.zulipchat.com/#narrow/channel/113489-new-members/topic/Music-kernel.20.2B.20Pythagorean.20comma.20formalization.20target/near/588730901). Tracked at GitHub issue #9. Attribution uses reviewer’s Lean Zulip display name as placeholder pending confirmation of preferred credit form.</w:t>
      </w:r>
    </w:p>
    <w:p>
      <w:pPr>
        <w:pStyle w:val="BodyText"/>
      </w:pPr>
      <w:r>
        <w:rPr>
          <w:i/>
          <w:iCs/>
        </w:rPr>
        <w:t xml:space="preserve">Version 1.1. Revisions from version 1.0: new § 5.1 paragraph adopting the Lakatos</w:t>
      </w:r>
      <w:r>
        <w:rPr>
          <w:i/>
          <w:iCs/>
        </w:rPr>
        <w:t xml:space="preserve"> </w:t>
      </w:r>
      <w:r>
        <w:rPr>
          <w:i/>
          <w:iCs/>
        </w:rPr>
        <w:t xml:space="preserve">‘hard core / protective belt’</w:t>
      </w:r>
      <w:r>
        <w:rPr>
          <w:i/>
          <w:iCs/>
        </w:rPr>
        <w:t xml:space="preserve"> </w:t>
      </w:r>
      <w:r>
        <w:rPr>
          <w:i/>
          <w:iCs/>
        </w:rPr>
        <w:t xml:space="preserve">terminology for both the Pythagorean school’s integer-ratio programme and the wider FalseWork framework (cross-referenced to Brink 2026a, v11.3, § 3.3); a Russell-type-vs-Gödel-type paragraph at § 5.3 cross-referenced to Brink 2026c (v9.0) § 4, noting that the same Diophantine obstruction can be Russell-type or Gödel-type depending on the absorbing framework; a Commitment-assignment hedge at § 6.3 cross-referenced to Brink 2026a (v11.3) § 3.4; and a new § 7.5 (</w:t>
      </w:r>
      <w:r>
        <w:rPr>
          <w:i/>
          <w:iCs/>
        </w:rPr>
        <w:t xml:space="preserve">‘Explanatory debts’</w:t>
      </w:r>
      <w:r>
        <w:rPr>
          <w:i/>
          <w:iCs/>
        </w:rPr>
        <w:t xml:space="preserve">) naming three open questions the paper does not settle. The [REVIEW: number theorist] flag on the unified-framework debt is explicit.</w:t>
      </w:r>
    </w:p>
    <w:p>
      <w:pPr>
        <w:pStyle w:val="BodyText"/>
      </w:pPr>
      <w:r>
        <w:rPr>
          <w:i/>
          <w:iCs/>
        </w:rPr>
        <w:t xml:space="preserve">Working draft. Section 4 requires review by a number theorist before submission; passages marked [REVIEW: number theorist] flag specific claims for vetting. Section 6’s position-mapping for the foundations-of-mathematics column is adventurous and is explicitly presented as a structural observation rather than a settled taxonomy.</w:t>
      </w:r>
    </w:p>
    <w:bookmarkStart w:id="9" w:name="abstract"/>
    <w:p>
      <w:pPr>
        <w:pStyle w:val="Heading2"/>
      </w:pPr>
      <w:r>
        <w:t xml:space="preserve">Abstract</w:t>
      </w:r>
    </w:p>
    <w:p>
      <w:pPr>
        <w:pStyle w:val="FirstParagraph"/>
      </w:pPr>
      <w:r>
        <w:t xml:space="preserve">The Pythagorean school produced two discoveries that have been treated as separate events in the history of Greek mathematics: the Pythagorean comma — the observation that twelve perfect fifths exceed seven octaves by a small but non-zero amount — and the irrationality of √2, proved by reductio using what we now call the fundamental theorem of arithmetic. This paper argues that both discoveries rest on the same Diophantine floor: the unique prime factorization of positive integers, and the consequent structure of the multiplicative group generated by small primes in the positive reals. The rank-1 case (√2) follows directly from unique factorization; the rank-≥2 case (the Pythagorean comma, and its relatives) is quantified by Baker’s theorem (1966) on linear forms in logarithms of algebraic numbers, which provides effective lower bounds on how nearly such a comma can vanish. We sketch this unification, review the historical evidence that the two discoveries emerge from a single research programme, and show that the subsequent response histories — in the temperament traditions of Western music theory and in the foundations of mathematical analysis from Cauchy through the constructivists — exhibit a common five-position typology. We present this structural parallel as an observation rather than a theorem, acknowledging that specific figure-to-position assignments in the foundations column are more contested than in the temperament column, and that the typology’s adequacy for describing responses to Diophantine obstructions in general is a further question.</w:t>
      </w:r>
    </w:p>
    <w:bookmarkEnd w:id="9"/>
    <w:bookmarkStart w:id="10" w:name="introduction"/>
    <w:p>
      <w:pPr>
        <w:pStyle w:val="Heading2"/>
      </w:pPr>
      <w:r>
        <w:t xml:space="preserve">1. Introduction</w:t>
      </w:r>
    </w:p>
    <w:p>
      <w:pPr>
        <w:pStyle w:val="FirstParagraph"/>
      </w:pPr>
      <w:r>
        <w:t xml:space="preserve">Two discoveries in 5th-century-BCE Greek mathematics, both attributed to the Pythagorean school, are traditionally treated in separate chapters of the standard histories. In music theory, the Pythagorean comma: the ratio (3/2)^12 / 2^7 = 531441/524288 ≈ 1.013643, the amount by which twelve perfect fifths exceed seven octaves. In the history of number, the irrationality of √2: the first provably non-rational magnitude, discovered within the same school, by a proof that survives as one of the oldest reductio arguments in mathematics. These two discoveries are usually narrated as unrelated problems: one a specific numerical obstruction in the tuning of musical intervals, the other a foundational event in the metaphysics of number.</w:t>
      </w:r>
    </w:p>
    <w:p>
      <w:pPr>
        <w:pStyle w:val="BodyText"/>
      </w:pPr>
      <w:r>
        <w:t xml:space="preserve">This paper argues that they are the same discovery at different ranks. Both are consequences of the multiplicative structure of the positive rationals — specifically, of the unique prime factorization theorem — hitting the research programme that insists on exact closure relations within integer-ratio space. The Pythagorean comma is the rank-2 manifestation (involving the two primes 2 and 3); √2’s irrationality is the rank-1 manifestation (involving the single prime 2 and the impossibility of taking a rational square root of it). Baker’s theorem (1966) on linear forms in logarithms of algebraic numbers provides effective quantitative bounds on how nearly commas of the rank-≥2 type can vanish — and therefore explains, among other things, why the continued-fraction convergent 7/12 produces a comma small enough to be practically ignorable but not zero.</w:t>
      </w:r>
    </w:p>
    <w:p>
      <w:pPr>
        <w:pStyle w:val="BodyText"/>
      </w:pPr>
      <w:r>
        <w:t xml:space="preserve">The paper has three contributions. First, an explicit unification of the two Pythagorean discoveries under the common framework of multiplicative independence grounded in unique factorization (Sections 2–4). Second, a historical argument that both discoveries emerge from the same research programme — the Pythagorean commitment to integer-ratio foundationalism — hitting the same structural obstruction at two different places (Section 5). Third, a structural observation that the subsequent response histories, in music temperament and in the foundations of mathematical analysis, exhibit a common five-position typology, which we present as a defensible observation rather than a settled taxonomy (Section 6).</w:t>
      </w:r>
    </w:p>
    <w:p>
      <w:pPr>
        <w:pStyle w:val="BodyText"/>
      </w:pPr>
      <w:r>
        <w:t xml:space="preserve">The mathematical content of Sections 2–4 is classical. The unification is a framing rather than a new theorem, and the paper does not claim otherwise. The historical argument of Section 5 draws on standard scholarship (Knorr 1975; Fowler 1987; Huffman 1993, 2005; Kahn 2001). Section 6’s structural claim is the paper’s most adventurous move and is presented with explicit acknowledgment that alternative typologies could describe the same response histories, and that specific figure-to-position assignments in the foundations-of-mathematics column are contested.</w:t>
      </w:r>
    </w:p>
    <w:bookmarkEnd w:id="10"/>
    <w:bookmarkStart w:id="15" w:name="X5c5b03a088445f0f1c8656f1c54236c4866bebf"/>
    <w:p>
      <w:pPr>
        <w:pStyle w:val="Heading2"/>
      </w:pPr>
      <w:r>
        <w:t xml:space="preserve">2. The Pythagorean comma: statement and context</w:t>
      </w:r>
    </w:p>
    <w:bookmarkStart w:id="11" w:name="the-exact-statement"/>
    <w:p>
      <w:pPr>
        <w:pStyle w:val="Heading3"/>
      </w:pPr>
      <w:r>
        <w:t xml:space="preserve">2.1 The exact statement</w:t>
      </w:r>
    </w:p>
    <w:p>
      <w:pPr>
        <w:pStyle w:val="FirstParagraph"/>
      </w:pPr>
      <w:r>
        <w:t xml:space="preserve">Twelve perfect fifths produce the frequency ratio (3/2)^12. Seven octaves produce the ratio 2^7. These are not equal:</w:t>
      </w:r>
    </w:p>
    <w:p>
      <w:pPr>
        <w:pStyle w:val="BodyText"/>
      </w:pPr>
      <m:oMathPara>
        <m:oMathParaPr>
          <m:jc m:val="center"/>
        </m:oMathParaPr>
        <m:oMath>
          <m:f>
            <m:fPr>
              <m:type m:val="bar"/>
            </m:fPr>
            <m:num>
              <m:r>
                <m:rPr>
                  <m:sty m:val="p"/>
                </m:rPr>
                <m:t>(</m:t>
              </m:r>
              <m:r>
                <m:t>3</m:t>
              </m:r>
              <m:r>
                <m:rPr>
                  <m:sty m:val="p"/>
                </m:rPr>
                <m:t>/</m:t>
              </m:r>
              <m:r>
                <m:t>2</m:t>
              </m:r>
              <m:sSup>
                <m:e>
                  <m:r>
                    <m:rPr>
                      <m:sty m:val="p"/>
                    </m:rPr>
                    <m:t>)</m:t>
                  </m:r>
                </m:e>
                <m:sup>
                  <m:r>
                    <m:t>12</m:t>
                  </m:r>
                </m:sup>
              </m:sSup>
            </m:num>
            <m:den>
              <m:sSup>
                <m:e>
                  <m:r>
                    <m:t>2</m:t>
                  </m:r>
                </m:e>
                <m:sup>
                  <m:r>
                    <m:t>7</m:t>
                  </m:r>
                </m:sup>
              </m:sSup>
            </m:den>
          </m:f>
          <m:r>
            <m:t> </m:t>
          </m:r>
          <m:r>
            <m:rPr>
              <m:sty m:val="p"/>
            </m:rPr>
            <m:t>=</m:t>
          </m:r>
          <m:r>
            <m:t> </m:t>
          </m:r>
          <m:f>
            <m:fPr>
              <m:type m:val="bar"/>
            </m:fPr>
            <m:num>
              <m:sSup>
                <m:e>
                  <m:r>
                    <m:t>3</m:t>
                  </m:r>
                </m:e>
                <m:sup>
                  <m:r>
                    <m:t>12</m:t>
                  </m:r>
                </m:sup>
              </m:sSup>
            </m:num>
            <m:den>
              <m:sSup>
                <m:e>
                  <m:r>
                    <m:t>2</m:t>
                  </m:r>
                </m:e>
                <m:sup>
                  <m:r>
                    <m:t>19</m:t>
                  </m:r>
                </m:sup>
              </m:sSup>
            </m:den>
          </m:f>
          <m:r>
            <m:t> </m:t>
          </m:r>
          <m:r>
            <m:rPr>
              <m:sty m:val="p"/>
            </m:rPr>
            <m:t>=</m:t>
          </m:r>
          <m:r>
            <m:t> </m:t>
          </m:r>
          <m:f>
            <m:fPr>
              <m:type m:val="bar"/>
            </m:fPr>
            <m:num>
              <m:r>
                <m:t>531441</m:t>
              </m:r>
            </m:num>
            <m:den>
              <m:r>
                <m:t>524288</m:t>
              </m:r>
            </m:den>
          </m:f>
          <m:r>
            <m:t> </m:t>
          </m:r>
          <m:r>
            <m:rPr>
              <m:sty m:val="p"/>
            </m:rPr>
            <m:t>≈</m:t>
          </m:r>
          <m:r>
            <m:t> </m:t>
          </m:r>
          <m:r>
            <m:t>1.013643</m:t>
          </m:r>
          <m:r>
            <m:rPr>
              <m:sty m:val="p"/>
            </m:rPr>
            <m:t>.</m:t>
          </m:r>
        </m:oMath>
      </m:oMathPara>
    </w:p>
    <w:p>
      <w:pPr>
        <w:pStyle w:val="FirstParagraph"/>
      </w:pPr>
      <w:r>
        <w:t xml:space="preserve">Expressed in cents (the logarithmic unit where one octave equals 1200 cents):</w:t>
      </w:r>
    </w:p>
    <w:p>
      <w:pPr>
        <w:pStyle w:val="BodyText"/>
      </w:pPr>
      <m:oMathPara>
        <m:oMathParaPr>
          <m:jc m:val="center"/>
        </m:oMathParaPr>
        <m:oMath>
          <m:r>
            <m:t>1200</m:t>
          </m:r>
          <m:r>
            <m:rPr>
              <m:sty m:val="p"/>
            </m:rPr>
            <m:t>⋅</m:t>
          </m:r>
          <m:sSub>
            <m:e>
              <m:r>
                <m:rPr>
                  <m:sty m:val="p"/>
                </m:rPr>
                <m:t>log</m:t>
              </m:r>
            </m:e>
            <m:sub>
              <m:r>
                <m:t>2</m:t>
              </m:r>
            </m:sub>
          </m:sSub>
          <m:d>
            <m:dPr>
              <m:begChr m:val="("/>
              <m:sepChr m:val=""/>
              <m:endChr m:val=")"/>
              <m:grow/>
            </m:dPr>
            <m:e>
              <m:f>
                <m:fPr>
                  <m:type m:val="bar"/>
                </m:fPr>
                <m:num>
                  <m:r>
                    <m:t>531441</m:t>
                  </m:r>
                </m:num>
                <m:den>
                  <m:r>
                    <m:t>524288</m:t>
                  </m:r>
                </m:den>
              </m:f>
            </m:e>
          </m:d>
          <m:r>
            <m:t> </m:t>
          </m:r>
          <m:r>
            <m:rPr>
              <m:sty m:val="p"/>
            </m:rPr>
            <m:t>≈</m:t>
          </m:r>
          <m:r>
            <m:t> </m:t>
          </m:r>
          <m:r>
            <m:t>23.460</m:t>
          </m:r>
          <m:r>
            <m:rPr>
              <m:nor/>
              <m:sty m:val="p"/>
            </m:rPr>
            <m:t> cents</m:t>
          </m:r>
          <m:r>
            <m:rPr>
              <m:sty m:val="p"/>
            </m:rPr>
            <m:t>.</m:t>
          </m:r>
        </m:oMath>
      </m:oMathPara>
    </w:p>
    <w:p>
      <w:pPr>
        <w:pStyle w:val="FirstParagraph"/>
      </w:pPr>
      <w:r>
        <w:t xml:space="preserve">This interval — the amount by which a cycle of twelve perfect fifths overshoots the octave-closure at the pitch-class of origin — is the</w:t>
      </w:r>
      <w:r>
        <w:t xml:space="preserve"> </w:t>
      </w:r>
      <w:r>
        <w:rPr>
          <w:i/>
          <w:iCs/>
        </w:rPr>
        <w:t xml:space="preserve">Pythagorean comma</w:t>
      </w:r>
      <w:r>
        <w:t xml:space="preserve">, which we denote κ_P.</w:t>
      </w:r>
    </w:p>
    <w:bookmarkEnd w:id="11"/>
    <w:bookmarkStart w:id="12" w:name="why-twelve-fifths-and-seven-octaves"/>
    <w:p>
      <w:pPr>
        <w:pStyle w:val="Heading3"/>
      </w:pPr>
      <w:r>
        <w:t xml:space="preserve">2.2 Why twelve fifths and seven octaves</w:t>
      </w:r>
    </w:p>
    <w:p>
      <w:pPr>
        <w:pStyle w:val="FirstParagraph"/>
      </w:pPr>
      <w:r>
        <w:t xml:space="preserve">The relation between the fifth (ratio 3/2) and the octave (ratio 2/1) is governed by the base-2 logarithm of the fifth:</w:t>
      </w:r>
    </w:p>
    <w:p>
      <w:pPr>
        <w:pStyle w:val="BodyText"/>
      </w:pPr>
      <m:oMathPara>
        <m:oMathParaPr>
          <m:jc m:val="center"/>
        </m:oMathParaPr>
        <m:oMath>
          <m:sSub>
            <m:e>
              <m:r>
                <m:rPr>
                  <m:sty m:val="p"/>
                </m:rPr>
                <m:t>log</m:t>
              </m:r>
            </m:e>
            <m:sub>
              <m:r>
                <m:t>2</m:t>
              </m:r>
            </m:sub>
          </m:sSub>
          <m:r>
            <m:rPr>
              <m:sty m:val="p"/>
            </m:rPr>
            <m:t>(</m:t>
          </m:r>
          <m:r>
            <m:t>3</m:t>
          </m:r>
          <m:r>
            <m:rPr>
              <m:sty m:val="p"/>
            </m:rPr>
            <m:t>/</m:t>
          </m:r>
          <m:r>
            <m:t>2</m:t>
          </m:r>
          <m:r>
            <m:rPr>
              <m:sty m:val="p"/>
            </m:rPr>
            <m:t>)</m:t>
          </m:r>
          <m:r>
            <m:t> </m:t>
          </m:r>
          <m:r>
            <m:rPr>
              <m:sty m:val="p"/>
            </m:rPr>
            <m:t>≈</m:t>
          </m:r>
          <m:r>
            <m:t> </m:t>
          </m:r>
          <m:r>
            <m:t>0.5849625007</m:t>
          </m:r>
          <m:r>
            <m:rPr>
              <m:sty m:val="p"/>
            </m:rPr>
            <m:t>…</m:t>
          </m:r>
        </m:oMath>
      </m:oMathPara>
    </w:p>
    <w:p>
      <w:pPr>
        <w:pStyle w:val="FirstParagraph"/>
      </w:pPr>
      <w:r>
        <w:t xml:space="preserve">Its continued-fraction expansion begins</w:t>
      </w:r>
    </w:p>
    <w:p>
      <w:pPr>
        <w:pStyle w:val="BodyText"/>
      </w:pPr>
      <m:oMathPara>
        <m:oMathParaPr>
          <m:jc m:val="center"/>
        </m:oMathParaPr>
        <m:oMath>
          <m:sSub>
            <m:e>
              <m:r>
                <m:rPr>
                  <m:sty m:val="p"/>
                </m:rPr>
                <m:t>log</m:t>
              </m:r>
            </m:e>
            <m:sub>
              <m:r>
                <m:t>2</m:t>
              </m:r>
            </m:sub>
          </m:sSub>
          <m:r>
            <m:rPr>
              <m:sty m:val="p"/>
            </m:rPr>
            <m:t>(</m:t>
          </m:r>
          <m:r>
            <m:t>3</m:t>
          </m:r>
          <m:r>
            <m:rPr>
              <m:sty m:val="p"/>
            </m:rPr>
            <m:t>/</m:t>
          </m:r>
          <m:r>
            <m:t>2</m:t>
          </m:r>
          <m:r>
            <m:rPr>
              <m:sty m:val="p"/>
            </m:rPr>
            <m:t>)</m:t>
          </m:r>
          <m:r>
            <m:t> </m:t>
          </m:r>
          <m:r>
            <m:rPr>
              <m:sty m:val="p"/>
            </m:rPr>
            <m:t>=</m:t>
          </m:r>
          <m:r>
            <m:t> </m:t>
          </m:r>
          <m:r>
            <m:rPr>
              <m:sty m:val="p"/>
            </m:rPr>
            <m:t>[</m:t>
          </m:r>
          <m:r>
            <m:t>0</m:t>
          </m:r>
          <m:r>
            <m:rPr>
              <m:sty m:val="p"/>
            </m:rPr>
            <m:t>;</m:t>
          </m:r>
          <m:r>
            <m:t> </m:t>
          </m:r>
          <m:r>
            <m:t>1</m:t>
          </m:r>
          <m:r>
            <m:rPr>
              <m:sty m:val="p"/>
            </m:rPr>
            <m:t>,</m:t>
          </m:r>
          <m:r>
            <m:t> </m:t>
          </m:r>
          <m:r>
            <m:t>1</m:t>
          </m:r>
          <m:r>
            <m:rPr>
              <m:sty m:val="p"/>
            </m:rPr>
            <m:t>,</m:t>
          </m:r>
          <m:r>
            <m:t> </m:t>
          </m:r>
          <m:r>
            <m:t>2</m:t>
          </m:r>
          <m:r>
            <m:rPr>
              <m:sty m:val="p"/>
            </m:rPr>
            <m:t>,</m:t>
          </m:r>
          <m:r>
            <m:t> </m:t>
          </m:r>
          <m:r>
            <m:t>2</m:t>
          </m:r>
          <m:r>
            <m:rPr>
              <m:sty m:val="p"/>
            </m:rPr>
            <m:t>,</m:t>
          </m:r>
          <m:r>
            <m:t> </m:t>
          </m:r>
          <m:r>
            <m:t>3</m:t>
          </m:r>
          <m:r>
            <m:rPr>
              <m:sty m:val="p"/>
            </m:rPr>
            <m:t>,</m:t>
          </m:r>
          <m:r>
            <m:t> </m:t>
          </m:r>
          <m:r>
            <m:t>1</m:t>
          </m:r>
          <m:r>
            <m:rPr>
              <m:sty m:val="p"/>
            </m:rPr>
            <m:t>,</m:t>
          </m:r>
          <m:r>
            <m:t> </m:t>
          </m:r>
          <m:r>
            <m:t>5</m:t>
          </m:r>
          <m:r>
            <m:rPr>
              <m:sty m:val="p"/>
            </m:rPr>
            <m:t>,</m:t>
          </m:r>
          <m:r>
            <m:t> </m:t>
          </m:r>
          <m:r>
            <m:t>2</m:t>
          </m:r>
          <m:r>
            <m:rPr>
              <m:sty m:val="p"/>
            </m:rPr>
            <m:t>,</m:t>
          </m:r>
          <m:r>
            <m:t> </m:t>
          </m:r>
          <m:r>
            <m:t>23</m:t>
          </m:r>
          <m:r>
            <m:rPr>
              <m:sty m:val="p"/>
            </m:rPr>
            <m:t>,</m:t>
          </m:r>
          <m:r>
            <m:t> </m:t>
          </m:r>
          <m:r>
            <m:t>2</m:t>
          </m:r>
          <m:r>
            <m:rPr>
              <m:sty m:val="p"/>
            </m:rPr>
            <m:t>,</m:t>
          </m:r>
          <m:r>
            <m:t> </m:t>
          </m:r>
          <m:r>
            <m:t>2</m:t>
          </m:r>
          <m:r>
            <m:rPr>
              <m:sty m:val="p"/>
            </m:rPr>
            <m:t>,</m:t>
          </m:r>
          <m:r>
            <m:t> </m:t>
          </m:r>
          <m:r>
            <m:rPr>
              <m:sty m:val="p"/>
            </m:rPr>
            <m:t>…</m:t>
          </m:r>
          <m:r>
            <m:rPr>
              <m:sty m:val="p"/>
            </m:rPr>
            <m:t>]</m:t>
          </m:r>
        </m:oMath>
      </m:oMathPara>
    </w:p>
    <w:p>
      <w:pPr>
        <w:pStyle w:val="FirstParagraph"/>
      </w:pPr>
      <w:r>
        <w:t xml:space="preserve">with convergents</w:t>
      </w:r>
    </w:p>
    <w:p>
      <w:pPr>
        <w:pStyle w:val="BodyText"/>
      </w:pPr>
      <m:oMathPara>
        <m:oMathParaPr>
          <m:jc m:val="center"/>
        </m:oMathParaPr>
        <m:oMath>
          <m:f>
            <m:fPr>
              <m:type m:val="bar"/>
            </m:fPr>
            <m:num>
              <m:r>
                <m:t>0</m:t>
              </m:r>
            </m:num>
            <m:den>
              <m:r>
                <m:t>1</m:t>
              </m:r>
            </m:den>
          </m:f>
          <m:r>
            <m:rPr>
              <m:sty m:val="p"/>
            </m:rPr>
            <m:t>,</m:t>
          </m:r>
          <m:r>
            <m:t> </m:t>
          </m:r>
          <m:f>
            <m:fPr>
              <m:type m:val="bar"/>
            </m:fPr>
            <m:num>
              <m:r>
                <m:t>1</m:t>
              </m:r>
            </m:num>
            <m:den>
              <m:r>
                <m:t>1</m:t>
              </m:r>
            </m:den>
          </m:f>
          <m:r>
            <m:rPr>
              <m:sty m:val="p"/>
            </m:rPr>
            <m:t>,</m:t>
          </m:r>
          <m:r>
            <m:t> </m:t>
          </m:r>
          <m:f>
            <m:fPr>
              <m:type m:val="bar"/>
            </m:fPr>
            <m:num>
              <m:r>
                <m:t>1</m:t>
              </m:r>
            </m:num>
            <m:den>
              <m:r>
                <m:t>2</m:t>
              </m:r>
            </m:den>
          </m:f>
          <m:r>
            <m:rPr>
              <m:sty m:val="p"/>
            </m:rPr>
            <m:t>,</m:t>
          </m:r>
          <m:r>
            <m:t> </m:t>
          </m:r>
          <m:f>
            <m:fPr>
              <m:type m:val="bar"/>
            </m:fPr>
            <m:num>
              <m:r>
                <m:t>3</m:t>
              </m:r>
            </m:num>
            <m:den>
              <m:r>
                <m:t>5</m:t>
              </m:r>
            </m:den>
          </m:f>
          <m:r>
            <m:rPr>
              <m:sty m:val="p"/>
            </m:rPr>
            <m:t>,</m:t>
          </m:r>
          <m:r>
            <m:t> </m:t>
          </m:r>
          <m:f>
            <m:fPr>
              <m:type m:val="bar"/>
            </m:fPr>
            <m:num>
              <m:r>
                <m:t>7</m:t>
              </m:r>
            </m:num>
            <m:den>
              <m:r>
                <m:t>12</m:t>
              </m:r>
            </m:den>
          </m:f>
          <m:r>
            <m:rPr>
              <m:sty m:val="p"/>
            </m:rPr>
            <m:t>,</m:t>
          </m:r>
          <m:r>
            <m:t> </m:t>
          </m:r>
          <m:f>
            <m:fPr>
              <m:type m:val="bar"/>
            </m:fPr>
            <m:num>
              <m:r>
                <m:t>24</m:t>
              </m:r>
            </m:num>
            <m:den>
              <m:r>
                <m:t>41</m:t>
              </m:r>
            </m:den>
          </m:f>
          <m:r>
            <m:rPr>
              <m:sty m:val="p"/>
            </m:rPr>
            <m:t>,</m:t>
          </m:r>
          <m:r>
            <m:t> </m:t>
          </m:r>
          <m:f>
            <m:fPr>
              <m:type m:val="bar"/>
            </m:fPr>
            <m:num>
              <m:r>
                <m:t>31</m:t>
              </m:r>
            </m:num>
            <m:den>
              <m:r>
                <m:t>53</m:t>
              </m:r>
            </m:den>
          </m:f>
          <m:r>
            <m:rPr>
              <m:sty m:val="p"/>
            </m:rPr>
            <m:t>,</m:t>
          </m:r>
          <m:r>
            <m:t> </m:t>
          </m:r>
          <m:r>
            <m:rPr>
              <m:sty m:val="p"/>
            </m:rPr>
            <m:t>…</m:t>
          </m:r>
        </m:oMath>
      </m:oMathPara>
    </w:p>
    <w:p>
      <w:pPr>
        <w:pStyle w:val="FirstParagraph"/>
      </w:pPr>
      <w:r>
        <w:t xml:space="preserve">Each convergent p/q gives the best rational approximation to log₂(3/2) among fractions with denominator at most q. The convergent 7/12 — twelve fifths approximating seven octaves — is accurate to approximately 0.00163 in log₂ units, corresponding to 1.955 cents per fifth and 23.460 cents across the twelve-fifth cycle. This is why 12-tone equal temperament (12-TET) is the dominant tuning of Western music after c. 1850: twelve fifths are close enough to seven octaves that the comma can be absorbed at the cost of 1.955 cents per fifth, and the cycle closes by construction. The next convergent, 24/41, corresponds to 41-TET. The convergent after that, 31/53, achieves an approximation accurate to roughly 0.0000680 — whence the theorist’s persistent interest in 53-TET (Mercator, Bosanquet). Isomorphic keyboard layouts (Bosanquet’s 1875 generalized keyboard; the contemporary Lumatone keyboard; the Kite guitar) make 53-TET, 41-TET, and other large equal divisions of the octave physically playable without a one-key-per-pitch layout.</w:t>
      </w:r>
    </w:p>
    <w:p>
      <w:pPr>
        <w:pStyle w:val="BodyText"/>
      </w:pPr>
      <w:r>
        <w:t xml:space="preserve">The continued-fraction structure is not a coincidence and not a design decision. It is a mathematical fact about how log₂(3/2) sits in the reals, and it determines the set of equal temperaments that are optimal for minimizing the Pythagorean comma specifically — that is, for closing the fifth-octave cycle with small error given the rank-2 prime basis {2, 3}. Musical practice often optimizes different quantities. 31-TET (Huygens, Fokker) has fifths of worse accuracy than 12-TET (≈ 5 cents off rather than ≈ 2) but is an effective 11-limit temperament, with strong approximations to the 5th, 7th, and 11th harmonics. 41-TET is a standard 7-limit choice. 53-TET distinguishes the syntonic comma (81/80) from zero and is correspondingly favoured in 5-limit contexts. These are responses to Baker-type optimization problems over extended prime bases {2, 3, 5, 7, 11, …} — a family § 4.4 notes for the syntonic comma and schisma; the continued-fraction analysis above addresses only the rank-2 {2, 3} case.</w:t>
      </w:r>
    </w:p>
    <w:bookmarkEnd w:id="12"/>
    <w:bookmarkStart w:id="13" w:name="historical-attribution"/>
    <w:p>
      <w:pPr>
        <w:pStyle w:val="Heading3"/>
      </w:pPr>
      <w:r>
        <w:t xml:space="preserve">2.3 Historical attribution</w:t>
      </w:r>
    </w:p>
    <w:p>
      <w:pPr>
        <w:pStyle w:val="FirstParagraph"/>
      </w:pPr>
      <w:r>
        <w:t xml:space="preserve">The observation that twelve fifths exceed seven octaves dates to the Pythagorean school and is implicit in the tetractys framework and the Pythagorean ratio-based cosmology. Philolaus of Croton (c. 470–385 BCE) is the earliest reliable textual source for Pythagorean musical ratios (Huffman 1993). The comma is explicitly noted in later transmissions: Nicomachus’s</w:t>
      </w:r>
      <w:r>
        <w:t xml:space="preserve"> </w:t>
      </w:r>
      <w:r>
        <w:rPr>
          <w:i/>
          <w:iCs/>
        </w:rPr>
        <w:t xml:space="preserve">Manual of Harmonics</w:t>
      </w:r>
      <w:r>
        <w:t xml:space="preserve"> </w:t>
      </w:r>
      <w:r>
        <w:t xml:space="preserve">(c. 100 CE; Levin trans. 1994) and, canonically for the Latin West, Boethius’s</w:t>
      </w:r>
      <w:r>
        <w:t xml:space="preserve"> </w:t>
      </w:r>
      <w:r>
        <w:rPr>
          <w:i/>
          <w:iCs/>
        </w:rPr>
        <w:t xml:space="preserve">De Institutione Musica</w:t>
      </w:r>
      <w:r>
        <w:t xml:space="preserve"> </w:t>
      </w:r>
      <w:r>
        <w:t xml:space="preserve">(c. 520 CE; Bower trans. 1989). The specific numerical value 531441/524288 is attested in Boethian and later medieval sources. The term</w:t>
      </w:r>
      <w:r>
        <w:t xml:space="preserve"> </w:t>
      </w:r>
      <w:r>
        <w:t xml:space="preserve">“Pythagorean comma”</w:t>
      </w:r>
      <w:r>
        <w:t xml:space="preserve"> </w:t>
      </w:r>
      <w:r>
        <w:t xml:space="preserve">is medieval-to-early-modern in terminology, but the phenomenon is ancient.</w:t>
      </w:r>
    </w:p>
    <w:bookmarkEnd w:id="13"/>
    <w:bookmarkStart w:id="14" w:name="the-music-theoretic-problem-it-generates"/>
    <w:p>
      <w:pPr>
        <w:pStyle w:val="Heading3"/>
      </w:pPr>
      <w:r>
        <w:t xml:space="preserve">2.4 The music-theoretic problem it generates</w:t>
      </w:r>
    </w:p>
    <w:p>
      <w:pPr>
        <w:pStyle w:val="FirstParagraph"/>
      </w:pPr>
      <w:r>
        <w:t xml:space="preserve">In Pythagorean tuning, the fifth is the generative interval of tonal space: all other intervals are derived from iterations of the fifth reduced to within an octave. The octave is the closure interval — the interval of pitch-class identity, beyond which the same scale repeats. The comma is the precise obstruction to simultaneously closing the cycle of fifths and preserving pure octaves. Any tuning system must resolve the tension between these two incompatible generators. Every temperament in the subsequent history of Western music — Pythagorean tuning, meantone, well-temperament, equal temperament, the various microtonal systems of the 20th and 21st centuries — is a response to this obstruction. The music-theoretic problem is not: how do we eliminate the comma? The comma cannot be eliminated. The problem is: where do we put it, and what do we sacrifice to put it there?</w:t>
      </w:r>
    </w:p>
    <w:bookmarkEnd w:id="14"/>
    <w:bookmarkEnd w:id="15"/>
    <w:bookmarkStart w:id="20" w:name="Xfc2d1f8b6b9ce35c7db05dd87a5dfada4fd6d59"/>
    <w:p>
      <w:pPr>
        <w:pStyle w:val="Heading2"/>
      </w:pPr>
      <w:r>
        <w:t xml:space="preserve">3. The irrationality of √2: statement and context</w:t>
      </w:r>
    </w:p>
    <w:bookmarkStart w:id="16" w:name="the-exact-statement-1"/>
    <w:p>
      <w:pPr>
        <w:pStyle w:val="Heading3"/>
      </w:pPr>
      <w:r>
        <w:t xml:space="preserve">3.1 The exact statement</w:t>
      </w:r>
    </w:p>
    <w:p>
      <w:pPr>
        <w:pStyle w:val="FirstParagraph"/>
      </w:pPr>
      <w:r>
        <w:t xml:space="preserve">There is no rational number p/q with (p/q)² = 2. Equivalently, √2 ∉ ℚ.</w:t>
      </w:r>
    </w:p>
    <w:bookmarkEnd w:id="16"/>
    <w:bookmarkStart w:id="17" w:name="the-classical-proof"/>
    <w:p>
      <w:pPr>
        <w:pStyle w:val="Heading3"/>
      </w:pPr>
      <w:r>
        <w:t xml:space="preserve">3.2 The classical proof</w:t>
      </w:r>
    </w:p>
    <w:p>
      <w:pPr>
        <w:pStyle w:val="FirstParagraph"/>
      </w:pPr>
      <w:r>
        <w:t xml:space="preserve">The proof, attributable to the Pythagoreans and preserved (with the paradigm-case status it still holds) in Aristotle’s</w:t>
      </w:r>
      <w:r>
        <w:t xml:space="preserve"> </w:t>
      </w:r>
      <w:r>
        <w:rPr>
          <w:i/>
          <w:iCs/>
        </w:rPr>
        <w:t xml:space="preserve">Prior Analytics</w:t>
      </w:r>
      <w:r>
        <w:t xml:space="preserve"> </w:t>
      </w:r>
      <w:r>
        <w:t xml:space="preserve">41a26–27, proceeds by reductio ad absurdum. Suppose √2 = p/q with gcd(p, q) = 1. Then</w:t>
      </w:r>
    </w:p>
    <w:p>
      <w:pPr>
        <w:pStyle w:val="BodyText"/>
      </w:pPr>
      <m:oMathPara>
        <m:oMathParaPr>
          <m:jc m:val="center"/>
        </m:oMathParaPr>
        <m:oMath>
          <m:r>
            <m:t>2</m:t>
          </m:r>
          <m:sSup>
            <m:e>
              <m:r>
                <m:t>q</m:t>
              </m:r>
            </m:e>
            <m:sup>
              <m:r>
                <m:t>2</m:t>
              </m:r>
            </m:sup>
          </m:sSup>
          <m:r>
            <m:rPr>
              <m:sty m:val="p"/>
            </m:rPr>
            <m:t>=</m:t>
          </m:r>
          <m:sSup>
            <m:e>
              <m:r>
                <m:t>p</m:t>
              </m:r>
            </m:e>
            <m:sup>
              <m:r>
                <m:t>2</m:t>
              </m:r>
            </m:sup>
          </m:sSup>
          <m:r>
            <m:rPr>
              <m:sty m:val="p"/>
            </m:rPr>
            <m:t>,</m:t>
          </m:r>
        </m:oMath>
      </m:oMathPara>
    </w:p>
    <w:p>
      <w:pPr>
        <w:pStyle w:val="FirstParagraph"/>
      </w:pPr>
      <w:r>
        <w:t xml:space="preserve">so p² is even, so p is even, so p = 2k for some integer k, so 2q² = 4k², so q² = 2k², so q² is even, so q is even — contradicting gcd(p, q) = 1. □</w:t>
      </w:r>
    </w:p>
    <w:p>
      <w:pPr>
        <w:pStyle w:val="BodyText"/>
      </w:pPr>
      <w:r>
        <w:t xml:space="preserve">The proof runs on what we now call the fundamental theorem of arithmetic: every positive integer has a unique factorization into primes. Specifically, the proof uses that the prime 2 has odd multiplicity in 2q² and must therefore have odd multiplicity on the right side of 2q² = p², which contradicts the fact that the prime multiplicities of a square are all even.</w:t>
      </w:r>
    </w:p>
    <w:bookmarkEnd w:id="17"/>
    <w:bookmarkStart w:id="18" w:name="historical-attribution-1"/>
    <w:p>
      <w:pPr>
        <w:pStyle w:val="Heading3"/>
      </w:pPr>
      <w:r>
        <w:t xml:space="preserve">3.3 Historical attribution</w:t>
      </w:r>
    </w:p>
    <w:p>
      <w:pPr>
        <w:pStyle w:val="FirstParagraph"/>
      </w:pPr>
      <w:r>
        <w:t xml:space="preserve">Traditional attribution assigns the discovery to Hippasus of Metapontum (c. 500 BCE), with a dramatic overlay reported in Iamblichus’s</w:t>
      </w:r>
      <w:r>
        <w:t xml:space="preserve"> </w:t>
      </w:r>
      <w:r>
        <w:rPr>
          <w:i/>
          <w:iCs/>
        </w:rPr>
        <w:t xml:space="preserve">Life of Pythagoras</w:t>
      </w:r>
      <w:r>
        <w:t xml:space="preserve"> </w:t>
      </w:r>
      <w:r>
        <w:t xml:space="preserve">(4th century CE) according to which Hippasus was drowned by the Pythagoreans for revealing the discovery of incommensurability. Modern scholarship treats the Hippasus details as uncertain but accepts that irrationality was discovered within the Pythagorean school during the 5th century BCE (Knorr 1975; Fowler 1987). Whether √2 itself was the first irrational discovered, or whether incommensurability was first established for the diagonal of the pentagram, is debated. The core historical claim required by this paper — that the discovery belongs to the same research programme as the Pythagorean comma — is not in doubt.</w:t>
      </w:r>
    </w:p>
    <w:bookmarkEnd w:id="18"/>
    <w:bookmarkStart w:id="19" w:name="the-mathematical-problem-it-generates"/>
    <w:p>
      <w:pPr>
        <w:pStyle w:val="Heading3"/>
      </w:pPr>
      <w:r>
        <w:t xml:space="preserve">3.4 The mathematical problem it generates</w:t>
      </w:r>
    </w:p>
    <w:p>
      <w:pPr>
        <w:pStyle w:val="FirstParagraph"/>
      </w:pPr>
      <w:r>
        <w:t xml:space="preserve">If rational numbers are the arithmetic of reality — and in Pythagorean metaphysics they are — then any account of geometric or continuous magnitude must resolve the tension between the desideratum of rational expressibility and the existence of provably non-rational magnitudes. The obstruction drives the entire subsequent history of number: the Eudoxean theory of proportion, the medieval treatment of surds, Stevin’s decimal fractions, the 19th-century construction of ℝ, the foundational debates of the late 19th and early 20th centuries, and the constructivist programmes that survive as principled alternatives to the classical continuum.</w:t>
      </w:r>
    </w:p>
    <w:bookmarkEnd w:id="19"/>
    <w:bookmarkEnd w:id="20"/>
    <w:bookmarkStart w:id="25" w:name="Xb1b48e294f3b79d18788169cf7763752f81e049"/>
    <w:p>
      <w:pPr>
        <w:pStyle w:val="Heading2"/>
      </w:pPr>
      <w:r>
        <w:t xml:space="preserve">4. The shared Diophantine floor: mathematical unification</w:t>
      </w:r>
    </w:p>
    <w:bookmarkStart w:id="21" w:name="X5499b79dd44e15123028cda0c81a2a73ba8c7dd"/>
    <w:p>
      <w:pPr>
        <w:pStyle w:val="Heading3"/>
      </w:pPr>
      <w:r>
        <w:t xml:space="preserve">4.1 Unique factorization as the common ground</w:t>
      </w:r>
    </w:p>
    <w:p>
      <w:pPr>
        <w:pStyle w:val="FirstParagraph"/>
      </w:pPr>
      <w:r>
        <w:t xml:space="preserve">Both Pythagorean discoveries rest on the same underlying fact: the unique prime factorization of positive integers.</w:t>
      </w:r>
    </w:p>
    <w:p>
      <w:pPr>
        <w:pStyle w:val="BodyText"/>
      </w:pPr>
      <w:r>
        <w:rPr>
          <w:b/>
          <w:bCs/>
        </w:rPr>
        <w:t xml:space="preserve">Fundamental Theorem of Arithmetic.</w:t>
      </w:r>
      <w:r>
        <w:t xml:space="preserve"> </w:t>
      </w:r>
      <w:r>
        <w:rPr>
          <w:i/>
          <w:iCs/>
        </w:rPr>
        <w:t xml:space="preserve">Every positive integer n &gt; 1 can be written uniquely, up to the order of factors, as a product of primes.</w:t>
      </w:r>
      <w:r>
        <w:t xml:space="preserve"> </w:t>
      </w:r>
      <w:r>
        <w:t xml:space="preserve">[REVIEW: number theorist — confirm phrasing; standard reference is Hardy and Wright 2008, §1.3.]</w:t>
      </w:r>
    </w:p>
    <w:p>
      <w:pPr>
        <w:pStyle w:val="BodyText"/>
      </w:pPr>
      <w:r>
        <w:t xml:space="preserve">Two consequences follow immediately.</w:t>
      </w:r>
    </w:p>
    <w:p>
      <w:pPr>
        <w:pStyle w:val="BodyText"/>
      </w:pPr>
      <w:r>
        <w:rPr>
          <w:b/>
          <w:bCs/>
        </w:rPr>
        <w:t xml:space="preserve">Consequence 1 (multiplicative independence of distinct primes).</w:t>
      </w:r>
      <w:r>
        <w:t xml:space="preserve"> </w:t>
      </w:r>
      <w:r>
        <w:t xml:space="preserve">For any finite set of distinct primes p₁, …, p_k and any integer tuple (n₁, …, n_k), the product ∏ p_i^(n_i) equals 1 if and only if n_i = 0 for all i. This is the multiplicative-independence statement: distinct primes are ℤ-linearly independent in the log of the positive rationals.</w:t>
      </w:r>
    </w:p>
    <w:p>
      <w:pPr>
        <w:pStyle w:val="BodyText"/>
      </w:pPr>
      <w:r>
        <w:rPr>
          <w:b/>
          <w:bCs/>
        </w:rPr>
        <w:t xml:space="preserve">Consequence 2 (no rational root of a prime).</w:t>
      </w:r>
      <w:r>
        <w:t xml:space="preserve"> </w:t>
      </w:r>
      <w:r>
        <w:t xml:space="preserve">For any prime p and any integer m ≥ 2, p^(1/m) is not rational. This is because if p^(1/m) = a/b with gcd(a, b) = 1, then b^m · p = a^m, which gives p on the left side with multiplicity 1 and p on the right side with multiplicity divisible by m; since 1 is not divisible by m ≥ 2, this is a contradiction.</w:t>
      </w:r>
    </w:p>
    <w:p>
      <w:pPr>
        <w:pStyle w:val="BodyText"/>
      </w:pPr>
      <w:r>
        <w:t xml:space="preserve">The Pythagorean comma is a direct consequence of the first statement. The irrationality of √2 is the m = 2, p = 2 case of the second.</w:t>
      </w:r>
    </w:p>
    <w:p>
      <w:pPr>
        <w:pStyle w:val="BodyText"/>
      </w:pPr>
      <w:r>
        <w:rPr>
          <w:b/>
          <w:bCs/>
        </w:rPr>
        <w:t xml:space="preserve">Corollary (Pythagorean comma).</w:t>
      </w:r>
      <w:r>
        <w:t xml:space="preserve"> </w:t>
      </w:r>
      <w:r>
        <w:t xml:space="preserve">For the primes 2 and 3, the tuple (n₁, n₂) = (−19, 12) produces</w:t>
      </w:r>
    </w:p>
    <w:p>
      <w:pPr>
        <w:pStyle w:val="BodyText"/>
      </w:pPr>
      <m:oMathPara>
        <m:oMathParaPr>
          <m:jc m:val="center"/>
        </m:oMathParaPr>
        <m:oMath>
          <m:sSup>
            <m:e>
              <m:r>
                <m:t>3</m:t>
              </m:r>
            </m:e>
            <m:sup>
              <m:r>
                <m:t>12</m:t>
              </m:r>
            </m:sup>
          </m:sSup>
          <m:r>
            <m:rPr>
              <m:sty m:val="p"/>
            </m:rPr>
            <m:t>⋅</m:t>
          </m:r>
          <m:sSup>
            <m:e>
              <m:r>
                <m:t>2</m:t>
              </m:r>
            </m:e>
            <m:sup>
              <m:r>
                <m:rPr>
                  <m:sty m:val="p"/>
                </m:rPr>
                <m:t>−</m:t>
              </m:r>
              <m:r>
                <m:t>19</m:t>
              </m:r>
            </m:sup>
          </m:sSup>
          <m:r>
            <m:t> </m:t>
          </m:r>
          <m:r>
            <m:rPr>
              <m:sty m:val="p"/>
            </m:rPr>
            <m:t>=</m:t>
          </m:r>
          <m:r>
            <m:t> </m:t>
          </m:r>
          <m:f>
            <m:fPr>
              <m:type m:val="bar"/>
            </m:fPr>
            <m:num>
              <m:r>
                <m:t>531441</m:t>
              </m:r>
            </m:num>
            <m:den>
              <m:r>
                <m:t>524288</m:t>
              </m:r>
            </m:den>
          </m:f>
          <m:r>
            <m:t> </m:t>
          </m:r>
          <m:r>
            <m:rPr>
              <m:sty m:val="p"/>
            </m:rPr>
            <m:t>≠</m:t>
          </m:r>
          <m:r>
            <m:t> </m:t>
          </m:r>
          <m:r>
            <m:t>1</m:t>
          </m:r>
          <m:r>
            <m:rPr>
              <m:sty m:val="p"/>
            </m:rPr>
            <m:t>.</m:t>
          </m:r>
        </m:oMath>
      </m:oMathPara>
    </w:p>
    <w:p>
      <w:pPr>
        <w:pStyle w:val="FirstParagraph"/>
      </w:pPr>
      <w:r>
        <w:t xml:space="preserve">By multiplicative independence, no non-trivial integer combination of 2 and 3 can equal 1; the continued-fraction structure of log₂(3/2) picks out (−19, 12) as the exponent tuple producing the smallest near-miss with small exponents.</w:t>
      </w:r>
    </w:p>
    <w:p>
      <w:pPr>
        <w:pStyle w:val="BodyText"/>
      </w:pPr>
      <w:r>
        <w:rPr>
          <w:b/>
          <w:bCs/>
        </w:rPr>
        <w:t xml:space="preserve">Corollary (irrationality of √2).</w:t>
      </w:r>
      <w:r>
        <w:t xml:space="preserve"> </w:t>
      </w:r>
      <w:r>
        <w:t xml:space="preserve">The prime 2 has no rational square root. This is the rank-1, m = 2 case of Consequence 2.</w:t>
      </w:r>
    </w:p>
    <w:p>
      <w:pPr>
        <w:pStyle w:val="BodyText"/>
      </w:pPr>
      <w:r>
        <w:t xml:space="preserve">Both discoveries are therefore consequences of unique factorization — one about the multiplicative structure of rationals generated by two primes, the other about the inability of rationals to express square roots of single primes. They share what we will call the</w:t>
      </w:r>
      <w:r>
        <w:t xml:space="preserve"> </w:t>
      </w:r>
      <w:r>
        <w:rPr>
          <w:i/>
          <w:iCs/>
        </w:rPr>
        <w:t xml:space="preserve">Diophantine floor</w:t>
      </w:r>
      <w:r>
        <w:t xml:space="preserve">: the multiplicative group generated by small primes in the positive reals, and the set of closure relations that cannot hold within it.</w:t>
      </w:r>
    </w:p>
    <w:bookmarkEnd w:id="21"/>
    <w:bookmarkStart w:id="22" w:name="Xecebcfe31be2e1e5db80b61fc8e58a100d59385"/>
    <w:p>
      <w:pPr>
        <w:pStyle w:val="Heading3"/>
      </w:pPr>
      <w:r>
        <w:t xml:space="preserve">4.2 Baker’s theorem: the quantitative extension for the rank-≥2 case</w:t>
      </w:r>
    </w:p>
    <w:p>
      <w:pPr>
        <w:pStyle w:val="FirstParagraph"/>
      </w:pPr>
      <w:r>
        <w:t xml:space="preserve">For rank-≥2 cases — commas like the Pythagorean comma, where the obstruction involves linear combinations of logarithms of several primes — we can say more than</w:t>
      </w:r>
      <w:r>
        <w:t xml:space="preserve"> </w:t>
      </w:r>
      <w:r>
        <w:t xml:space="preserve">“the comma is non-zero.”</w:t>
      </w:r>
      <w:r>
        <w:t xml:space="preserve"> </w:t>
      </w:r>
      <w:r>
        <w:t xml:space="preserve">We can give an effective lower bound on how nearly zero such a comma can be.</w:t>
      </w:r>
    </w:p>
    <w:p>
      <w:pPr>
        <w:pStyle w:val="BodyText"/>
      </w:pPr>
      <w:r>
        <w:rPr>
          <w:b/>
          <w:bCs/>
        </w:rPr>
        <w:t xml:space="preserve">Theorem (Baker 1966).</w:t>
      </w:r>
      <w:r>
        <w:t xml:space="preserve"> </w:t>
      </w:r>
      <w:r>
        <w:rPr>
          <w:i/>
          <w:iCs/>
        </w:rPr>
        <w:t xml:space="preserve">Let α₁, …, α_n be algebraic numbers, none equal to 0 or 1, whose logarithms log α₁, …, log α_n are linearly independent over ℚ. Then for any non-zero integer tuple (b₁, …, b_n) with H = max|b_i|, there exist effectively computable positive constants C and κ depending on α₁, …, α_n and their heights such that</w:t>
      </w:r>
    </w:p>
    <w:p>
      <w:pPr>
        <w:pStyle w:val="BodyText"/>
      </w:pPr>
      <m:oMathPara>
        <m:oMathParaPr>
          <m:jc m:val="center"/>
        </m:oMathParaPr>
        <m:oMath>
          <m:d>
            <m:dPr>
              <m:begChr m:val="|"/>
              <m:sepChr m:val=""/>
              <m:endChr m:val="|"/>
              <m:grow/>
            </m:dPr>
            <m:e>
              <m:sSub>
                <m:e>
                  <m:r>
                    <m:t>b</m:t>
                  </m:r>
                </m:e>
                <m:sub>
                  <m:r>
                    <m:t>1</m:t>
                  </m:r>
                </m:sub>
              </m:sSub>
              <m:r>
                <m:rPr>
                  <m:sty m:val="p"/>
                </m:rPr>
                <m:t>log</m:t>
              </m:r>
              <m:sSub>
                <m:e>
                  <m:r>
                    <m:t>α</m:t>
                  </m:r>
                </m:e>
                <m:sub>
                  <m:r>
                    <m:t>1</m:t>
                  </m:r>
                </m:sub>
              </m:sSub>
              <m:r>
                <m:rPr>
                  <m:sty m:val="p"/>
                </m:rPr>
                <m:t>+</m:t>
              </m:r>
              <m:r>
                <m:rPr>
                  <m:sty m:val="p"/>
                </m:rPr>
                <m:t>⋯</m:t>
              </m:r>
              <m:r>
                <m:rPr>
                  <m:sty m:val="p"/>
                </m:rPr>
                <m:t>+</m:t>
              </m:r>
              <m:sSub>
                <m:e>
                  <m:r>
                    <m:t>b</m:t>
                  </m:r>
                </m:e>
                <m:sub>
                  <m:r>
                    <m:t>n</m:t>
                  </m:r>
                </m:sub>
              </m:sSub>
              <m:r>
                <m:rPr>
                  <m:sty m:val="p"/>
                </m:rPr>
                <m:t>log</m:t>
              </m:r>
              <m:sSub>
                <m:e>
                  <m:r>
                    <m:t>α</m:t>
                  </m:r>
                </m:e>
                <m:sub>
                  <m:r>
                    <m:t>n</m:t>
                  </m:r>
                </m:sub>
              </m:sSub>
            </m:e>
          </m:d>
          <m:r>
            <m:t> </m:t>
          </m:r>
          <m:r>
            <m:rPr>
              <m:sty m:val="p"/>
            </m:rPr>
            <m:t>&gt;</m:t>
          </m:r>
          <m:r>
            <m:t> </m:t>
          </m:r>
          <m:r>
            <m:t>C</m:t>
          </m:r>
          <m:r>
            <m:rPr>
              <m:sty m:val="p"/>
            </m:rPr>
            <m:t>⋅</m:t>
          </m:r>
          <m:sSup>
            <m:e>
              <m:r>
                <m:t>H</m:t>
              </m:r>
            </m:e>
            <m:sup>
              <m:r>
                <m:rPr>
                  <m:sty m:val="p"/>
                </m:rPr>
                <m:t>−</m:t>
              </m:r>
              <m:r>
                <m:t>κ</m:t>
              </m:r>
            </m:sup>
          </m:sSup>
          <m:r>
            <m:rPr>
              <m:sty m:val="p"/>
            </m:rPr>
            <m:t>.</m:t>
          </m:r>
        </m:oMath>
      </m:oMathPara>
    </w:p>
    <w:p>
      <w:pPr>
        <w:pStyle w:val="FirstParagraph"/>
      </w:pPr>
      <w:r>
        <w:t xml:space="preserve">[REVIEW: number theorist — confirm standard formulation; the bound is stated in many variants, and the literature uses both H = max|b_i| and H as the absolute height; the form above follows the exposition in Baker 1975,</w:t>
      </w:r>
      <w:r>
        <w:t xml:space="preserve"> </w:t>
      </w:r>
      <w:r>
        <w:rPr>
          <w:i/>
          <w:iCs/>
        </w:rPr>
        <w:t xml:space="preserve">Transcendental Number Theory</w:t>
      </w:r>
      <w:r>
        <w:t xml:space="preserve">.]</w:t>
      </w:r>
    </w:p>
    <w:p>
      <w:pPr>
        <w:pStyle w:val="BodyText"/>
      </w:pPr>
      <w:r>
        <w:t xml:space="preserve">Baker’s theorem generalizes earlier results: Hermite’s transcendence of</w:t>
      </w:r>
      <w:r>
        <w:t xml:space="preserve"> </w:t>
      </w:r>
      <w:r>
        <w:rPr>
          <w:i/>
          <w:iCs/>
        </w:rPr>
        <w:t xml:space="preserve">e</w:t>
      </w:r>
      <w:r>
        <w:t xml:space="preserve"> </w:t>
      </w:r>
      <w:r>
        <w:t xml:space="preserve">(1873), Lindemann’s transcendence of π (1882), and the Gelfond–Schneider theorem (1934) resolving Hilbert’s seventh problem. For the present paper its significance is twofold.</w:t>
      </w:r>
    </w:p>
    <w:p>
      <w:pPr>
        <w:pStyle w:val="BodyText"/>
      </w:pPr>
      <w:r>
        <w:t xml:space="preserve">First, it places the Pythagorean comma inside a general quantitative framework. The non-vanishing of |12 log 3 − 19 log 2| is not a special fact about the primes 2 and 3; it is an instance of a theorem that effectively bounds, from below, every non-trivial ℤ-linear combination of logarithms of algebraic numbers whose logarithms are linearly independent over ℚ. The specific multiplicative-independence claim of Section 4.1 gives the non-vanishing; Baker’s theorem gives quantitative control over how small the non-vanishing can be.</w:t>
      </w:r>
    </w:p>
    <w:p>
      <w:pPr>
        <w:pStyle w:val="BodyText"/>
      </w:pPr>
      <w:r>
        <w:t xml:space="preserve">Second, Baker’s theorem constrains the space of equal temperaments that minimize the Pythagorean comma specifically. The continued-fraction convergent 7/12 produces a comma of magnitude 1.013643 with exponents (n₁, n₂) = (−19, 12). Baker’s effective lower bound on |b₁ log α₁ + b₂ log α₂| as a function of H = max|b_i| constrains how much smaller any comma with bounded exponents can be. In combination with the continued-fraction structure of log₂(3/2), this explains why 12-TET, 41-TET, 53-TET, and a small number of other equal divisions of the octave are the only temperaments that produce very small Pythagorean commas with small exponents — and why no temperament produces a zero Pythagorean comma, because there is no such temperament to produce. A temperament’s general musical practicality, however, depends on additional harmonic goals — approximation of the 5-, 7-, and 11-limit subgroups of the free multiplicative group on primes, for instance — which are Baker-type optimization problems over extended prime bases rather than the rank-2 {2, 3} problem treated here (§ 4.4 mentions the syntonic-comma and schisma instances).</w:t>
      </w:r>
    </w:p>
    <w:bookmarkEnd w:id="22"/>
    <w:bookmarkStart w:id="23" w:name="remark-on-the-unification"/>
    <w:p>
      <w:pPr>
        <w:pStyle w:val="Heading3"/>
      </w:pPr>
      <w:r>
        <w:t xml:space="preserve">4.3 Remark on the unification</w:t>
      </w:r>
    </w:p>
    <w:p>
      <w:pPr>
        <w:pStyle w:val="FirstParagraph"/>
      </w:pPr>
      <w:r>
        <w:t xml:space="preserve">The unification the paper claims is therefore the following. Both discoveries rest on the fundamental theorem of arithmetic and the multiplicative-independence consequences it entails. The rank-1 case (√2) follows from unique factorization directly; the rank-≥2 case (Pythagorean comma, and its relatives — the syntonic comma 81/80, the schisma ≈ 1.954 cents, etc.) is quantified by Baker’s theorem, which provides effective lower bounds on how nearly such commas can vanish. The</w:t>
      </w:r>
      <w:r>
        <w:t xml:space="preserve"> </w:t>
      </w:r>
      <w:r>
        <w:t xml:space="preserve">“shared Diophantine floor”</w:t>
      </w:r>
      <w:r>
        <w:t xml:space="preserve"> </w:t>
      </w:r>
      <w:r>
        <w:t xml:space="preserve">is the unique factorization structure itself; Baker’s theorem is the modern extension that makes the rank-≥2 statement quantitative.</w:t>
      </w:r>
    </w:p>
    <w:p>
      <w:pPr>
        <w:pStyle w:val="BodyText"/>
      </w:pPr>
      <w:r>
        <w:t xml:space="preserve">This framing is less dramatic than a putative</w:t>
      </w:r>
      <w:r>
        <w:t xml:space="preserve"> </w:t>
      </w:r>
      <w:r>
        <w:t xml:space="preserve">“single theorem covers both cases”</w:t>
      </w:r>
      <w:r>
        <w:t xml:space="preserve"> </w:t>
      </w:r>
      <w:r>
        <w:t xml:space="preserve">would be, but it is mathematically correct and historically truer: the Pythagoreans were operating within what would become unique factorization, not anticipating 20th-century transcendence theory. Baker gives us the quantitative refinement in the multi-prime case; unique factorization gives us the qualitative obstruction in both.</w:t>
      </w:r>
    </w:p>
    <w:bookmarkEnd w:id="23"/>
    <w:bookmarkStart w:id="24" w:name="other-diophantine-commas-in-music"/>
    <w:p>
      <w:pPr>
        <w:pStyle w:val="Heading3"/>
      </w:pPr>
      <w:r>
        <w:t xml:space="preserve">4.4 Other Diophantine commas in music</w:t>
      </w:r>
    </w:p>
    <w:p>
      <w:pPr>
        <w:pStyle w:val="FirstParagraph"/>
      </w:pPr>
      <w:r>
        <w:t xml:space="preserve">The framework of Section 4.1–4.2 accommodates the full family of commas that appear in the history of music theory. We list the principal ones for orientation:</w:t>
      </w:r>
    </w:p>
    <w:p>
      <w:pPr>
        <w:pStyle w:val="Compact"/>
        <w:numPr>
          <w:ilvl w:val="0"/>
          <w:numId w:val="1001"/>
        </w:numPr>
      </w:pPr>
      <w:r>
        <w:rPr>
          <w:b/>
          <w:bCs/>
        </w:rPr>
        <w:t xml:space="preserve">Pythagorean comma</w:t>
      </w:r>
      <w:r>
        <w:t xml:space="preserve"> </w:t>
      </w:r>
      <w:r>
        <w:t xml:space="preserve">κ_P = 3^12 / 2^19 = 531441/524288 ≈ 23.460 cents. Rank 2 (primes 2, 3).</w:t>
      </w:r>
    </w:p>
    <w:p>
      <w:pPr>
        <w:pStyle w:val="Compact"/>
        <w:numPr>
          <w:ilvl w:val="0"/>
          <w:numId w:val="1001"/>
        </w:numPr>
      </w:pPr>
      <w:r>
        <w:rPr>
          <w:b/>
          <w:bCs/>
        </w:rPr>
        <w:t xml:space="preserve">Syntonic comma</w:t>
      </w:r>
      <w:r>
        <w:t xml:space="preserve"> </w:t>
      </w:r>
      <w:r>
        <w:t xml:space="preserve">κ_S = 81/80 = 3^4 / (2^4 · 5) ≈ 21.506 cents. Rank 3 (primes 2, 3, 5). The difference between four perfect fifths and two octaves plus a just major third.</w:t>
      </w:r>
    </w:p>
    <w:p>
      <w:pPr>
        <w:pStyle w:val="Compact"/>
        <w:numPr>
          <w:ilvl w:val="0"/>
          <w:numId w:val="1001"/>
        </w:numPr>
      </w:pPr>
      <w:r>
        <w:rPr>
          <w:b/>
          <w:bCs/>
        </w:rPr>
        <w:t xml:space="preserve">Schisma</w:t>
      </w:r>
      <w:r>
        <w:t xml:space="preserve"> </w:t>
      </w:r>
      <w:r>
        <w:t xml:space="preserve">κ_Sch = κ_P / κ_S = 32805/32768 ≈ 1.954 cents. Rank 3.</w:t>
      </w:r>
    </w:p>
    <w:p>
      <w:pPr>
        <w:pStyle w:val="Compact"/>
        <w:numPr>
          <w:ilvl w:val="0"/>
          <w:numId w:val="1001"/>
        </w:numPr>
      </w:pPr>
      <w:r>
        <w:rPr>
          <w:b/>
          <w:bCs/>
        </w:rPr>
        <w:t xml:space="preserve">Diaschisma</w:t>
      </w:r>
      <w:r>
        <w:t xml:space="preserve"> </w:t>
      </w:r>
      <w:r>
        <w:t xml:space="preserve">≈ 19.553 cents. Rank 3.</w:t>
      </w:r>
    </w:p>
    <w:p>
      <w:pPr>
        <w:pStyle w:val="FirstParagraph"/>
      </w:pPr>
      <w:r>
        <w:t xml:space="preserve">Each of these is a non-trivial integer combination of log 2, log 3, and (for rank 3) log 5, whose non-vanishing follows from multiplicative independence and whose smallness is quantified by Baker-type bounds. The paper’s argument extends to all of them; we focus on the Pythagorean comma and the irrationality of √2 as the historically first and most consequential instances.</w:t>
      </w:r>
    </w:p>
    <w:bookmarkEnd w:id="24"/>
    <w:bookmarkEnd w:id="25"/>
    <w:bookmarkStart w:id="30" w:name="X1cd12c3d2755d5753030b799fceb4add4c69b0c"/>
    <w:p>
      <w:pPr>
        <w:pStyle w:val="Heading2"/>
      </w:pPr>
      <w:r>
        <w:t xml:space="preserve">5. One research programme, two discoveries: the historical identity</w:t>
      </w:r>
    </w:p>
    <w:p>
      <w:pPr>
        <w:pStyle w:val="FirstParagraph"/>
      </w:pPr>
      <w:r>
        <w:t xml:space="preserve">The mathematical identity established in Section 4 has a historical counterpart. Both Pythagorean discoveries emerge from the same research programme hitting its own structural limit.</w:t>
      </w:r>
    </w:p>
    <w:bookmarkStart w:id="26" w:name="the-pythagorean-programme"/>
    <w:p>
      <w:pPr>
        <w:pStyle w:val="Heading3"/>
      </w:pPr>
      <w:r>
        <w:t xml:space="preserve">5.1 The Pythagorean programme</w:t>
      </w:r>
    </w:p>
    <w:p>
      <w:pPr>
        <w:pStyle w:val="FirstParagraph"/>
      </w:pPr>
      <w:r>
        <w:t xml:space="preserve">The Pythagorean school’s core commitment — in Lakatos’s terminology, the programme’s</w:t>
      </w:r>
      <w:r>
        <w:t xml:space="preserve"> </w:t>
      </w:r>
      <w:r>
        <w:rPr>
          <w:i/>
          <w:iCs/>
        </w:rPr>
        <w:t xml:space="preserve">hard core</w:t>
      </w:r>
      <w:r>
        <w:t xml:space="preserve"> </w:t>
      </w:r>
      <w:r>
        <w:t xml:space="preserve">(Lakatos 1978) — was the thesis that integer ratios are the fundamental structure of reality. The tetractys (the triangular figure of ten dots arranged in four rows) encoded the ratios 1:2, 2:3, and 3:4 — the octave, the fifth, and the fourth — as the numerical ground of music and, by extension, of cosmic order. The extant fragments of Philolaus (Huffman 1993) make this commitment explicit: the world is knowable because it is numerable, and it is numerable because it is composed of integer ratios. The wider FalseWork programme adopts the same Lakatos-progressive structure at the framework level (Brink 2026a, v11.3, § 3.3): the kernel/comma topology functions as the programme’s hard core, preserved through protective-belt refinements rather than abandoned on individual anomalies.</w:t>
      </w:r>
    </w:p>
    <w:p>
      <w:pPr>
        <w:pStyle w:val="BodyText"/>
      </w:pPr>
      <w:r>
        <w:t xml:space="preserve">This commitment generated predictions in multiple domains. In music: every interval should be expressible as a ratio of small integers, and the generative interval of tonal space (the fifth) should close cycles that match octave-cycles after a finite number of steps. In geometry: any two magnitudes of the same kind should be commensurable — expressible as ratios of a common unit. In cosmology: the distances and periods of the heavenly bodies should stand in integer-ratio relations (the harmony of the spheres). The programme treated these predictions as unified because they flowed from the same metaphysical commitment.</w:t>
      </w:r>
    </w:p>
    <w:bookmarkEnd w:id="26"/>
    <w:bookmarkStart w:id="27" w:name="where-the-programme-bit-itself"/>
    <w:p>
      <w:pPr>
        <w:pStyle w:val="Heading3"/>
      </w:pPr>
      <w:r>
        <w:t xml:space="preserve">5.2 Where the programme bit itself</w:t>
      </w:r>
    </w:p>
    <w:p>
      <w:pPr>
        <w:pStyle w:val="FirstParagraph"/>
      </w:pPr>
      <w:r>
        <w:t xml:space="preserve">The integer-ratio hypothesis fails in both music and geometry for the same underlying reason: the multiplicative structure of small integers does not admit the closure relations the programme requires. In music, twelve fifths do not close to seven octaves. In geometry, the diagonal of a unit square is not commensurable with its side — √2 is not a ratio. Both failures are consequences of unique factorization. The programme’s commitment to integer-ratio foundationalism is structurally incompatible with the closure it seeks, at two different ranks of the same Diophantine phenomenon.</w:t>
      </w:r>
    </w:p>
    <w:bookmarkEnd w:id="27"/>
    <w:bookmarkStart w:id="28" w:name="the-two-discoveries-as-one-event"/>
    <w:p>
      <w:pPr>
        <w:pStyle w:val="Heading3"/>
      </w:pPr>
      <w:r>
        <w:t xml:space="preserve">5.3 The two discoveries as one event</w:t>
      </w:r>
    </w:p>
    <w:p>
      <w:pPr>
        <w:pStyle w:val="FirstParagraph"/>
      </w:pPr>
      <w:r>
        <w:t xml:space="preserve">The Pythagorean comma and the irrationality of √2 are therefore not two separate events in the history of the Pythagorean school but two manifestations of a single underlying discovery: the research programme’s own hard core is structurally incompatible with the closure it seeks. The school’s initial response to the discovery of irrationality — suppression, according to the Hippasus legend, regardless of whether the specific details are historical — is a canonical instance of the Refusal position we will describe in Section 6. The response to the musical comma took longer to develop, and diverged into multiple positions, because music theory has a more forgiving relationship with approximation than metaphysics has with exact rational expressibility: one can play music in Pythagorean tuning and absorb the comma somewhere, whereas one cannot rationalize √2 by distributing its irrationality somewhere.</w:t>
      </w:r>
    </w:p>
    <w:p>
      <w:pPr>
        <w:pStyle w:val="BodyText"/>
      </w:pPr>
      <w:r>
        <w:t xml:space="preserve">A distinction developed formally in Brink 2026c (v9.0) § 4 illuminates the Pythagorean school’s response and its subsequent history. Both commas are Gödel-type productive incompleteness from the perspective of the later traditions that absorbed them: 12-TET absorbs the rank-2 comma as a permanent structural feature and builds modulation-symmetric composition on top of it; ℝ absorbs √2’s irrationality as a completion of ℚ and builds classical analysis on top of that absorption. The Refusal response within the original Pythagorean programme, by contrast, treated √2 as Russell-type: a contradiction threatening the tenability of the integer-ratio hard core, requiring suppression rather than absorption. The Hippasus legend dramatizes what the distinction developed formally in Brink 2026c (v9.0) § 4 describes: a comma’s status as productive incompleteness rather than inconsistency is a property of the absorbing framework, not of the comma itself. The same Diophantine obstruction can be Russell-type relative to one programme and Gödel-type relative to another.</w:t>
      </w:r>
    </w:p>
    <w:bookmarkEnd w:id="28"/>
    <w:bookmarkStart w:id="29" w:name="divergence-of-the-two-response-histories"/>
    <w:p>
      <w:pPr>
        <w:pStyle w:val="Heading3"/>
      </w:pPr>
      <w:r>
        <w:t xml:space="preserve">5.4 Divergence of the two response histories</w:t>
      </w:r>
    </w:p>
    <w:p>
      <w:pPr>
        <w:pStyle w:val="FirstParagraph"/>
      </w:pPr>
      <w:r>
        <w:t xml:space="preserve">After the Pythagorean period, the two discoveries drive separate technical traditions. The musical response culminates in the temperament history of Western music — Pythagorean tuning through meantone through well-temperament through 12-TET, with persistent minority traditions of just intonation and microtonalism. The mathematical response culminates in the history of number and the foundations of analysis — the Eudoxean theory of proportion, Stevin’s decimal fractions, the 19th-century construction of ℝ, and the foundational debates of the late 19th and early 20th centuries.</w:t>
      </w:r>
    </w:p>
    <w:p>
      <w:pPr>
        <w:pStyle w:val="BodyText"/>
      </w:pPr>
      <w:r>
        <w:t xml:space="preserve">Each tradition develops responses to its comma that, remarkably, exhibit the same five-position typology. The next section sets out this parallel.</w:t>
      </w:r>
    </w:p>
    <w:bookmarkEnd w:id="29"/>
    <w:bookmarkEnd w:id="30"/>
    <w:bookmarkStart w:id="35" w:name="X6237765d65c9ff31f6e560283648a24ba83fa81"/>
    <w:p>
      <w:pPr>
        <w:pStyle w:val="Heading2"/>
      </w:pPr>
      <w:r>
        <w:t xml:space="preserve">6. The response topology: five positions across both domains</w:t>
      </w:r>
    </w:p>
    <w:p>
      <w:pPr>
        <w:pStyle w:val="FirstParagraph"/>
      </w:pPr>
      <w:r>
        <w:t xml:space="preserve">This section presents the paper’s structural-historical observation: that responses to a Diophantine comma in both the music and mathematics traditions exhibit a common five-position typology. We present the typology, give the clearest example of each position in each tradition, and acknowledge explicitly that specific figure-to-position assignments in the foundations-of-mathematics column are contested and that multiple reasonable assignments are available.</w:t>
      </w:r>
    </w:p>
    <w:bookmarkStart w:id="31" w:name="the-five-positions"/>
    <w:p>
      <w:pPr>
        <w:pStyle w:val="Heading3"/>
      </w:pPr>
      <w:r>
        <w:t xml:space="preserve">6.1 The five positions</w:t>
      </w:r>
    </w:p>
    <w:p>
      <w:pPr>
        <w:pStyle w:val="FirstParagraph"/>
      </w:pPr>
      <w:r>
        <w:t xml:space="preserve">Responses to a Diophantine comma admit, we propose, five structurally distinct positions. Each preserves some subset of the programme’s original desiderata and sacrifices others.</w:t>
      </w:r>
    </w:p>
    <w:p>
      <w:pPr>
        <w:pStyle w:val="Compact"/>
        <w:numPr>
          <w:ilvl w:val="0"/>
          <w:numId w:val="1002"/>
        </w:numPr>
      </w:pPr>
      <w:r>
        <w:rPr>
          <w:b/>
          <w:bCs/>
        </w:rPr>
        <w:t xml:space="preserve">Infrastructure.</w:t>
      </w:r>
      <w:r>
        <w:t xml:space="preserve"> </w:t>
      </w:r>
      <w:r>
        <w:t xml:space="preserve">Build the formal apparatus that makes the comma legible. Do not yet take a substantive position on how to close it.</w:t>
      </w:r>
    </w:p>
    <w:p>
      <w:pPr>
        <w:pStyle w:val="Compact"/>
        <w:numPr>
          <w:ilvl w:val="0"/>
          <w:numId w:val="1002"/>
        </w:numPr>
      </w:pPr>
      <w:r>
        <w:rPr>
          <w:b/>
          <w:bCs/>
        </w:rPr>
        <w:t xml:space="preserve">Distribution.</w:t>
      </w:r>
      <w:r>
        <w:t xml:space="preserve"> </w:t>
      </w:r>
      <w:r>
        <w:t xml:space="preserve">Make the comma navigable by spreading its effect across the generative field. Distribute the error or the obstruction where it is least disruptive, preserving overall functionality at the cost of local perfection.</w:t>
      </w:r>
    </w:p>
    <w:p>
      <w:pPr>
        <w:pStyle w:val="Compact"/>
        <w:numPr>
          <w:ilvl w:val="0"/>
          <w:numId w:val="1002"/>
        </w:numPr>
      </w:pPr>
      <w:r>
        <w:rPr>
          <w:b/>
          <w:bCs/>
        </w:rPr>
        <w:t xml:space="preserve">Exploitation.</w:t>
      </w:r>
      <w:r>
        <w:t xml:space="preserve"> </w:t>
      </w:r>
      <w:r>
        <w:t xml:space="preserve">Absorb the comma into a single structural decision, producing a system in which the comma is held as a permanent feature and the system itself becomes the productive response. The comma’s geometry is made generative.</w:t>
      </w:r>
    </w:p>
    <w:p>
      <w:pPr>
        <w:pStyle w:val="Compact"/>
        <w:numPr>
          <w:ilvl w:val="0"/>
          <w:numId w:val="1002"/>
        </w:numPr>
      </w:pPr>
      <w:r>
        <w:rPr>
          <w:b/>
          <w:bCs/>
        </w:rPr>
        <w:t xml:space="preserve">Commitment.</w:t>
      </w:r>
      <w:r>
        <w:t xml:space="preserve"> </w:t>
      </w:r>
      <w:r>
        <w:t xml:space="preserve">Preserve the programme’s original commitments at the cost of scope. Accept the loss of tools or territory required to maintain strict integer-ratio / strict-rational purity.</w:t>
      </w:r>
    </w:p>
    <w:p>
      <w:pPr>
        <w:pStyle w:val="Compact"/>
        <w:numPr>
          <w:ilvl w:val="0"/>
          <w:numId w:val="1002"/>
        </w:numPr>
      </w:pPr>
      <w:r>
        <w:rPr>
          <w:b/>
          <w:bCs/>
        </w:rPr>
        <w:t xml:space="preserve">Refusal.</w:t>
      </w:r>
      <w:r>
        <w:t xml:space="preserve"> </w:t>
      </w:r>
      <w:r>
        <w:t xml:space="preserve">Reject the terms of the problem. Build alternatives that do not require the closure the programme sought.</w:t>
      </w:r>
    </w:p>
    <w:p>
      <w:pPr>
        <w:pStyle w:val="FirstParagraph"/>
      </w:pPr>
      <w:r>
        <w:t xml:space="preserve">These five positions are not value-ordered; each is a coherent response to the shared Diophantine floor. The claim of this section is that both traditions exhibit all five positions, and that this parallel follows from the shared structure of the obstruction rather than from any cross-domain cultural influence. There is no textual record of Kronecker discussing tuning, nor of Werckmeister discussing irrational numbers. The parallel is structural, not historical in the sense of mutual influence.</w:t>
      </w:r>
    </w:p>
    <w:bookmarkEnd w:id="31"/>
    <w:bookmarkStart w:id="32" w:name="music-temperament-position-by-position"/>
    <w:p>
      <w:pPr>
        <w:pStyle w:val="Heading3"/>
      </w:pPr>
      <w:r>
        <w:t xml:space="preserve">6.2 Music temperament, position by position</w:t>
      </w:r>
    </w:p>
    <w:p>
      <w:pPr>
        <w:pStyle w:val="FirstParagraph"/>
      </w:pPr>
      <w:r>
        <w:t xml:space="preserve">The music tradition admits the cleanest position-mapping of the two, for a simple reason: temperament systems are discrete technical objects, each of which</w:t>
      </w:r>
      <w:r>
        <w:t xml:space="preserve"> </w:t>
      </w:r>
      <w:r>
        <w:rPr>
          <w:i/>
          <w:iCs/>
        </w:rPr>
        <w:t xml:space="preserve">is</w:t>
      </w:r>
      <w:r>
        <w:t xml:space="preserve"> </w:t>
      </w:r>
      <w:r>
        <w:t xml:space="preserve">a single response to the comma. The positions map almost without controversy.</w:t>
      </w:r>
    </w:p>
    <w:p>
      <w:pPr>
        <w:pStyle w:val="BodyText"/>
      </w:pPr>
      <w:r>
        <w:rPr>
          <w:b/>
          <w:bCs/>
        </w:rPr>
        <w:t xml:space="preserve">Infrastructure.</w:t>
      </w:r>
      <w:r>
        <w:t xml:space="preserve"> </w:t>
      </w:r>
      <w:r>
        <w:t xml:space="preserve">The theoretical treatises that formalize the comma and the ratios on which it depends, without committing to a specific tuning solution. Boethius,</w:t>
      </w:r>
      <w:r>
        <w:t xml:space="preserve"> </w:t>
      </w:r>
      <w:r>
        <w:rPr>
          <w:i/>
          <w:iCs/>
        </w:rPr>
        <w:t xml:space="preserve">De Institutione Musica</w:t>
      </w:r>
      <w:r>
        <w:t xml:space="preserve"> </w:t>
      </w:r>
      <w:r>
        <w:t xml:space="preserve">(c. 520 CE). Zarlino,</w:t>
      </w:r>
      <w:r>
        <w:t xml:space="preserve"> </w:t>
      </w:r>
      <w:r>
        <w:rPr>
          <w:i/>
          <w:iCs/>
        </w:rPr>
        <w:t xml:space="preserve">Le Istitutioni Harmoniche</w:t>
      </w:r>
      <w:r>
        <w:t xml:space="preserve"> </w:t>
      </w:r>
      <w:r>
        <w:t xml:space="preserve">(1558). Rameau,</w:t>
      </w:r>
      <w:r>
        <w:t xml:space="preserve"> </w:t>
      </w:r>
      <w:r>
        <w:rPr>
          <w:i/>
          <w:iCs/>
        </w:rPr>
        <w:t xml:space="preserve">Traité de l’harmonie réduite à ses principes naturels</w:t>
      </w:r>
      <w:r>
        <w:t xml:space="preserve"> </w:t>
      </w:r>
      <w:r>
        <w:t xml:space="preserve">(1722). These works make the comma auditable and calculable but hold back from committing to a single resolution.</w:t>
      </w:r>
    </w:p>
    <w:p>
      <w:pPr>
        <w:pStyle w:val="BodyText"/>
      </w:pPr>
      <w:r>
        <w:rPr>
          <w:b/>
          <w:bCs/>
        </w:rPr>
        <w:t xml:space="preserve">Distribution.</w:t>
      </w:r>
      <w:r>
        <w:t xml:space="preserve"> </w:t>
      </w:r>
      <w:r>
        <w:t xml:space="preserve">The well-temperaments of the German Baroque. Werckmeister,</w:t>
      </w:r>
      <w:r>
        <w:t xml:space="preserve"> </w:t>
      </w:r>
      <w:r>
        <w:rPr>
          <w:i/>
          <w:iCs/>
        </w:rPr>
        <w:t xml:space="preserve">Musicalische Temperatur</w:t>
      </w:r>
      <w:r>
        <w:t xml:space="preserve"> </w:t>
      </w:r>
      <w:r>
        <w:t xml:space="preserve">(1691). Kirnberger’s tunings (1766–1779). Vallotti (mid-18th century). These systems distribute the comma unequally across the twelve fifths, tempering some more than others to preserve key-characterful differences while allowing all twenty-four keys to be playable. The comma is not absorbed into a single uniform adjustment; it is distributed across the field.</w:t>
      </w:r>
    </w:p>
    <w:p>
      <w:pPr>
        <w:pStyle w:val="BodyText"/>
      </w:pPr>
      <w:r>
        <w:rPr>
          <w:b/>
          <w:bCs/>
        </w:rPr>
        <w:t xml:space="preserve">Exploitation.</w:t>
      </w:r>
      <w:r>
        <w:t xml:space="preserve"> </w:t>
      </w:r>
      <w:r>
        <w:t xml:space="preserve">Twelve-tone equal temperament (12-TET). Proposed by Vincenzo Galilei (1581) and Simon Stevin (c. 1585; published 1884); independently derived in China by Zhu Zaiyu (1584). The comma is absorbed as 1.955 cents extracted uniformly from each fifth, and the cycle of fifths closes to the cycle of octaves by construction. 12-TET becomes the dominant Western tuning from the mid-19th century onward and is the enabling condition for the modulation-symmetric composition of Schoenberg, Messiaen, Coltrane, and most 20th-century practice. The comma is held as a permanent structural feature and made the ground of a closed, symmetric harmonic system.</w:t>
      </w:r>
    </w:p>
    <w:p>
      <w:pPr>
        <w:pStyle w:val="BodyText"/>
      </w:pPr>
      <w:r>
        <w:rPr>
          <w:b/>
          <w:bCs/>
        </w:rPr>
        <w:t xml:space="preserve">Commitment.</w:t>
      </w:r>
      <w:r>
        <w:t xml:space="preserve"> </w:t>
      </w:r>
      <w:r>
        <w:t xml:space="preserve">Just intonation. Pythagorean tuning (3-limit just intonation) and Ptolemaic 5-limit just intonation preserve integer ratios strictly, at the cost of modulation flexibility. A persistent minority tradition across the history of Western music, represented in the 20th century by Harry Partch’s 43-tone just intonation (</w:t>
      </w:r>
      <w:r>
        <w:rPr>
          <w:i/>
          <w:iCs/>
        </w:rPr>
        <w:t xml:space="preserve">Genesis of a Music</w:t>
      </w:r>
      <w:r>
        <w:t xml:space="preserve">, 1949) and the microtonal composers following him.</w:t>
      </w:r>
    </w:p>
    <w:p>
      <w:pPr>
        <w:pStyle w:val="BodyText"/>
      </w:pPr>
      <w:r>
        <w:rPr>
          <w:b/>
          <w:bCs/>
        </w:rPr>
        <w:t xml:space="preserve">Refusal.</w:t>
      </w:r>
      <w:r>
        <w:t xml:space="preserve"> </w:t>
      </w:r>
      <w:r>
        <w:t xml:space="preserve">Microtonal systems that abandon the twelve-grid entirely. 19-TET, 31-TET (Christiaan Huygens, Adriaan Fokker), 53-TET (Nicholas Mercator, R. H. M. Bosanquet), the extended just-intonation systems of La Monte Young, Catherine Lamb, and contemporary microtonalists. These systems refuse the terms of the original problem: rather than accept that twelve fifths should close to seven octaves, they propose that the closure question as posed was the wrong question, and they construct pitch fields in which different closure conditions apply.</w:t>
      </w:r>
    </w:p>
    <w:p>
      <w:pPr>
        <w:pStyle w:val="BodyText"/>
      </w:pPr>
      <w:r>
        <w:t xml:space="preserve">The music-side mapping is clean because each temperament</w:t>
      </w:r>
      <w:r>
        <w:t xml:space="preserve"> </w:t>
      </w:r>
      <w:r>
        <w:rPr>
          <w:i/>
          <w:iCs/>
        </w:rPr>
        <w:t xml:space="preserve">is</w:t>
      </w:r>
      <w:r>
        <w:t xml:space="preserve"> </w:t>
      </w:r>
      <w:r>
        <w:t xml:space="preserve">a discrete technical artifact whose structural position is determined by what it does to the comma. There is little interpretive latitude.</w:t>
      </w:r>
    </w:p>
    <w:bookmarkEnd w:id="32"/>
    <w:bookmarkStart w:id="33" w:name="Xfb50f7e1b415cabff422471b86bdcad954124a9"/>
    <w:p>
      <w:pPr>
        <w:pStyle w:val="Heading3"/>
      </w:pPr>
      <w:r>
        <w:t xml:space="preserve">6.3 Foundations of mathematics, position by position</w:t>
      </w:r>
    </w:p>
    <w:p>
      <w:pPr>
        <w:pStyle w:val="FirstParagraph"/>
      </w:pPr>
      <w:r>
        <w:t xml:space="preserve">The foundations-of-mathematics column is more complicated. Mathematical figures typically operate at multiple positions over the course of a career, and specific figure-to-position assignments are partially interchangeable. Dedekind’s construction of ℝ from cuts, for example, can be read as Infrastructure (making the continuum formally legible), Distribution (organizing the gap between ℚ and ℝ into a structured hierarchy), or even Exploitation (making the cut operation itself the generative mechanism of the real line). We offer reasonable first-pass assignments and return in Section 7 to the observation that alternative assignments are available.</w:t>
      </w:r>
    </w:p>
    <w:p>
      <w:pPr>
        <w:pStyle w:val="BodyText"/>
      </w:pPr>
      <w:r>
        <w:rPr>
          <w:b/>
          <w:bCs/>
        </w:rPr>
        <w:t xml:space="preserve">Infrastructure.</w:t>
      </w:r>
      <w:r>
        <w:t xml:space="preserve"> </w:t>
      </w:r>
      <w:r>
        <w:t xml:space="preserve">The 19th-century rigorization of analysis. Cauchy,</w:t>
      </w:r>
      <w:r>
        <w:t xml:space="preserve"> </w:t>
      </w:r>
      <w:r>
        <w:rPr>
          <w:i/>
          <w:iCs/>
        </w:rPr>
        <w:t xml:space="preserve">Cours d’analyse</w:t>
      </w:r>
      <w:r>
        <w:t xml:space="preserve"> </w:t>
      </w:r>
      <w:r>
        <w:t xml:space="preserve">(1821). Weierstrass’s lectures on the foundations of analysis (1860s onward). The construction of ℝ via Cauchy sequences (Cantor 1872) and via Dedekind cuts (Dedekind 1872). Dedekind,</w:t>
      </w:r>
      <w:r>
        <w:t xml:space="preserve"> </w:t>
      </w:r>
      <w:r>
        <w:rPr>
          <w:i/>
          <w:iCs/>
        </w:rPr>
        <w:t xml:space="preserve">Was sind und was sollen die Zahlen?</w:t>
      </w:r>
      <w:r>
        <w:t xml:space="preserve"> </w:t>
      </w:r>
      <w:r>
        <w:t xml:space="preserve">(1888). These works make the √2 comma — the gap between ℚ and ℝ — formally legible without yet committing to a particular metaphysics of the continuum. They establish the apparatus within which later positions become visible as positions.</w:t>
      </w:r>
    </w:p>
    <w:p>
      <w:pPr>
        <w:pStyle w:val="BodyText"/>
      </w:pPr>
      <w:r>
        <w:rPr>
          <w:b/>
          <w:bCs/>
        </w:rPr>
        <w:t xml:space="preserve">Distribution.</w:t>
      </w:r>
      <w:r>
        <w:t xml:space="preserve"> </w:t>
      </w:r>
      <w:r>
        <w:t xml:space="preserve">Cantor’s set theory and the transfinite hierarchy (1874–1897), and the subsequent development of descriptive set theory (Baire, Borel, Lebesgue, 1898–1905). These works spread the obstruction across a structured hierarchy of magnitudes, making the discontinuity between the rational and the real legible as the first step in a graded series of distinctions — countable vs. uncountable, Borel vs. projective, and so on. Dedekind’s construction of ℝ admits a similar reading and could alternatively be placed here; we return to this ambiguity in Section 7.</w:t>
      </w:r>
    </w:p>
    <w:p>
      <w:pPr>
        <w:pStyle w:val="BodyText"/>
      </w:pPr>
      <w:r>
        <w:rPr>
          <w:b/>
          <w:bCs/>
        </w:rPr>
        <w:t xml:space="preserve">Exploitation.</w:t>
      </w:r>
      <w:r>
        <w:t xml:space="preserve"> </w:t>
      </w:r>
      <w:r>
        <w:t xml:space="preserve">Classical real analysis and its modern descendants. Accept ℝ as the completion of ℚ, and build the Riemann integral, functional analysis, measure theory, modern probability, and the bulk of 20th-century classical mathematics on top of it. The √2-comma is absorbed into the structure of the real line by construction, and the mathematical apparatus built on top of that absorption becomes the generative medium of the discipline. This is the dominant position in 20th-century mathematics and plays a role analogous to 12-TET’s dominance in music: a single technical response to the comma becomes the shared ground on which most subsequent work is built.</w:t>
      </w:r>
    </w:p>
    <w:p>
      <w:pPr>
        <w:pStyle w:val="BodyText"/>
      </w:pPr>
      <w:r>
        <w:rPr>
          <w:b/>
          <w:bCs/>
        </w:rPr>
        <w:t xml:space="preserve">Commitment.</w:t>
      </w:r>
      <w:r>
        <w:t xml:space="preserve"> </w:t>
      </w:r>
      <w:r>
        <w:t xml:space="preserve">Kronecker’s finitism.</w:t>
      </w:r>
      <w:r>
        <w:t xml:space="preserve"> </w:t>
      </w:r>
      <w:r>
        <w:rPr>
          <w:i/>
          <w:iCs/>
        </w:rPr>
        <w:t xml:space="preserve">Über den Zahlbegriff</w:t>
      </w:r>
      <w:r>
        <w:t xml:space="preserve"> </w:t>
      </w:r>
      <w:r>
        <w:t xml:space="preserve">(1887). The dictum reported by Weber (1893):</w:t>
      </w:r>
      <w:r>
        <w:t xml:space="preserve"> </w:t>
      </w:r>
      <w:r>
        <w:t xml:space="preserve">“Die ganzen Zahlen hat der liebe Gott gemacht, alles andere ist Menschenwerk.”</w:t>
      </w:r>
      <w:r>
        <w:t xml:space="preserve"> </w:t>
      </w:r>
      <w:r>
        <w:t xml:space="preserve">Hermann Weyl’s</w:t>
      </w:r>
      <w:r>
        <w:t xml:space="preserve"> </w:t>
      </w:r>
      <w:r>
        <w:rPr>
          <w:i/>
          <w:iCs/>
        </w:rPr>
        <w:t xml:space="preserve">Das Kontinuum</w:t>
      </w:r>
      <w:r>
        <w:t xml:space="preserve"> </w:t>
      </w:r>
      <w:r>
        <w:t xml:space="preserve">(1918) semi-predicativism. Errett Bishop’s constructive analysis (1967). These programmes preserve the classical integer-rational commitments at the cost of accepting the loss of substantial portions of classical analysis — in Bishop’s case, rebuilding what can be rebuilt on constructive foundations and accepting the loss of what cannot. An open issue bears specifically on the Kronecker assignment: as flagged in Brink 2026a (v11.3) § 3.4, Commitment may be irreducibly corpus-level rather than recoverable from individual works. Kronecker’s finitism was a career-long programme rather than a single-work position — the Commitment reading depends on reading his output as a sustained refusal to grant ontological status beyond the integers across decades of work, not on any single paper. The present assignment is illustrative of the wider open issue, not a resolution of it.</w:t>
      </w:r>
    </w:p>
    <w:p>
      <w:pPr>
        <w:pStyle w:val="BodyText"/>
      </w:pPr>
      <w:r>
        <w:rPr>
          <w:b/>
          <w:bCs/>
        </w:rPr>
        <w:t xml:space="preserve">Refusal.</w:t>
      </w:r>
      <w:r>
        <w:t xml:space="preserve"> </w:t>
      </w:r>
      <w:r>
        <w:t xml:space="preserve">L. E. J. Brouwer’s intuitionism.</w:t>
      </w:r>
      <w:r>
        <w:t xml:space="preserve"> </w:t>
      </w:r>
      <w:r>
        <w:t xml:space="preserve">“Over de Grondslagen der Wiskunde”</w:t>
      </w:r>
      <w:r>
        <w:t xml:space="preserve"> </w:t>
      </w:r>
      <w:r>
        <w:t xml:space="preserve">(1907). The rejection of the law of excluded middle for infinite sets. Arend Heyting’s formalization of intuitionistic logic (1930). Later developments: Martin-Löf intuitionistic type theory (1984), and more recent extensions in homotopy type theory. These programmes refuse the terms of classical analysis — the universe is not fixed, truth is construction, and the √2-comma is not to be resolved but dissolved into a different logic of number altogether.</w:t>
      </w:r>
    </w:p>
    <w:p>
      <w:pPr>
        <w:pStyle w:val="BodyText"/>
      </w:pPr>
      <w:r>
        <w:t xml:space="preserve">Kronecker and Brouwer map cleanly to Commitment and Refusal, respectively; their positions are well-defined, philosophically explicit, and institutionally minority. The Infrastructure–Distribution–Exploitation cluster is more interchangeable. We treat this interchangeability as informative rather than problematic: it suggests that the mathematics tradition, unlike the temperament tradition, did not resolve its comma through discrete technical artifacts but through a layered and partially overlapping theoretical development, within which specific figures contributed to multiple positions over the course of their work.</w:t>
      </w:r>
    </w:p>
    <w:bookmarkEnd w:id="33"/>
    <w:bookmarkStart w:id="34" w:name="the-structural-parallel"/>
    <w:p>
      <w:pPr>
        <w:pStyle w:val="Heading3"/>
      </w:pPr>
      <w:r>
        <w:t xml:space="preserve">6.4 The structural parallel</w:t>
      </w:r>
    </w:p>
    <w:p>
      <w:pPr>
        <w:pStyle w:val="FirstParagraph"/>
      </w:pPr>
      <w:r>
        <w:t xml:space="preserve">Both traditions exhibit all five positions, in broadly parallel chronology. Infrastructure first: ancient-to-medieval theoretical treatises in music; 19th-century rigorization in mathematics. Distribution next: Baroque well-temperaments; Cantor’s hierarchy and descriptive set theory. Exploitation becoming dominant: 12-TET; classical real analysis on ℝ. Commitment and Refusal surviving as principled minority traditions: just intonation and microtonalism; finitism and intuitionism.</w:t>
      </w:r>
    </w:p>
    <w:p>
      <w:pPr>
        <w:pStyle w:val="BodyText"/>
      </w:pPr>
      <w:r>
        <w:t xml:space="preserve">The claim that this parallel follows from the shared Diophantine floor — rather than from cultural influence — rests on two observations. First, the two traditions are historically independent: there is no textual evidence that the theorists of one tradition were consulting the theorists of the other. Second, the parallel is not one of specific content but of structural form: the positions are structurally distinct responses to the same underlying multiplicative-independence obstruction, and both traditions, driven by practical pressure in their respective domains, discovered all five positions because all five positions exist in the structure of the problem.</w:t>
      </w:r>
    </w:p>
    <w:p>
      <w:pPr>
        <w:pStyle w:val="BodyText"/>
      </w:pPr>
      <w:r>
        <w:t xml:space="preserve">This is the paper’s most speculative move. It is a structural observation supported by historical parallel, not a theorem. Alternative typologies (three-fold, seven-fold, continuously graded) might describe the same response histories equally well. The five-position typology is offered as a defensible and productive structural reading, not as a uniquely correct taxonomy. Critical engagement with the typology — including proposals for alternative structures — would strengthen rather than weaken the paper’s underlying claim.</w:t>
      </w:r>
    </w:p>
    <w:bookmarkEnd w:id="34"/>
    <w:bookmarkEnd w:id="35"/>
    <w:bookmarkStart w:id="41" w:name="discussion"/>
    <w:p>
      <w:pPr>
        <w:pStyle w:val="Heading2"/>
      </w:pPr>
      <w:r>
        <w:t xml:space="preserve">7. Discussion</w:t>
      </w:r>
    </w:p>
    <w:bookmarkStart w:id="36" w:name="Xb7ac265edb49bfa560f85b08bc8aa48cfb14edc"/>
    <w:p>
      <w:pPr>
        <w:pStyle w:val="Heading3"/>
      </w:pPr>
      <w:r>
        <w:t xml:space="preserve">7.1 What Baker’s theorem does and does not settle</w:t>
      </w:r>
    </w:p>
    <w:p>
      <w:pPr>
        <w:pStyle w:val="FirstParagraph"/>
      </w:pPr>
      <w:r>
        <w:t xml:space="preserve">Baker’s theorem gives effective quantitative lower bounds on Diophantine commas of rank ≥ 2, and in doing so explains why the continued-fraction structure of log₂(3/2) picks out 7/12, 24/41, and 31/53 — corresponding to 12-TET, 41-TET, and 53-TET — as the approximations optimal for the Pythagorean comma specifically. (General microtonal practicality is a different optimization, over extended prime bases; see § 2.2 and § 4.4.) It does not, by itself, generate the five-position typology of Section 6. The typology is a claim about response structures, not a mathematical consequence of Baker’s bound. The paper’s contribution at Section 6 is to observe that both traditions exhibit the same five-position structure, and to propose that this follows from the shared Diophantine floor. Whether the five-position typology is the</w:t>
      </w:r>
      <w:r>
        <w:t xml:space="preserve"> </w:t>
      </w:r>
      <w:r>
        <w:t xml:space="preserve">“right”</w:t>
      </w:r>
      <w:r>
        <w:t xml:space="preserve"> </w:t>
      </w:r>
      <w:r>
        <w:t xml:space="preserve">structure for describing responses to Diophantine commas in general — whether responses to the syntonic comma, the schisma, or other rank-≥3 commas would exhibit the same five positions — is a further question that this paper does not resolve.</w:t>
      </w:r>
    </w:p>
    <w:bookmarkEnd w:id="36"/>
    <w:bookmarkStart w:id="37" w:name="Xb61fab0e58b9d41446b472827fba9fe176e0c23"/>
    <w:p>
      <w:pPr>
        <w:pStyle w:val="Heading3"/>
      </w:pPr>
      <w:r>
        <w:t xml:space="preserve">7.2 Asymmetry between the music column and the mathematics column</w:t>
      </w:r>
    </w:p>
    <w:p>
      <w:pPr>
        <w:pStyle w:val="FirstParagraph"/>
      </w:pPr>
      <w:r>
        <w:t xml:space="preserve">The music-side mapping of Section 6.2 is clean because each temperament system is a discrete technical object whose structural position is determined by what it does to the comma. The mathematics-side mapping of Section 6.3 is less clean because a single mathematical figure typically operates at multiple positions over the course of a career. Dedekind’s construction of ℝ could be placed at Infrastructure or Distribution or Exploitation; we place it at Infrastructure and acknowledge the alternative readings.</w:t>
      </w:r>
    </w:p>
    <w:p>
      <w:pPr>
        <w:pStyle w:val="BodyText"/>
      </w:pPr>
      <w:r>
        <w:t xml:space="preserve">This asymmetry is itself interesting. It may reflect a difference in the kind of object each tradition produces: a temperament system is a single technical artifact that instantiates one position; a foundational mathematical programme is a layered theoretical structure that can instantiate several positions at once. The asymmetry does not undermine the parallel — both traditions exhibit all five positions — but it does mean that specific figure-to-position assignments in the mathematics column are more defensible as illustrations than as classifications. The typology is the claim; the specific assignments are exemplifications.</w:t>
      </w:r>
    </w:p>
    <w:bookmarkEnd w:id="37"/>
    <w:bookmarkStart w:id="38" w:name="other-diophantine-commas"/>
    <w:p>
      <w:pPr>
        <w:pStyle w:val="Heading3"/>
      </w:pPr>
      <w:r>
        <w:t xml:space="preserve">7.3 Other Diophantine commas</w:t>
      </w:r>
    </w:p>
    <w:p>
      <w:pPr>
        <w:pStyle w:val="FirstParagraph"/>
      </w:pPr>
      <w:r>
        <w:t xml:space="preserve">The framework of Section 4 accommodates the full family of music-theoretic commas: syntonic (81/80), schisma (32805/32768), diaschisma, and their relatives. All are non-trivial integer combinations of log 2, log 3, and (for rank ≥ 3) log 5, whose non-vanishing follows from multiplicative independence and whose smallness is quantified by Baker-type bounds. The paper’s argument extends to all of them. Similar structures arise in calendar reform (lunar/solar commensuration: the Metonic cycle’s residual is a Diophantine comma in base-{year, lunation}), in celestial mechanics (the three-body problem and KAM theory), and in cryptographic hard problems based on multiplicative-group structure. Each offers a potential site for testing whether the five-position typology generalizes or whether it is specific to the music/mathematics pair considered here.</w:t>
      </w:r>
    </w:p>
    <w:bookmarkEnd w:id="38"/>
    <w:bookmarkStart w:id="39" w:name="what-the-paper-does-not-claim"/>
    <w:p>
      <w:pPr>
        <w:pStyle w:val="Heading3"/>
      </w:pPr>
      <w:r>
        <w:t xml:space="preserve">7.4 What the paper does not claim</w:t>
      </w:r>
    </w:p>
    <w:p>
      <w:pPr>
        <w:pStyle w:val="FirstParagraph"/>
      </w:pPr>
      <w:r>
        <w:t xml:space="preserve">This paper does not claim that all structural obstructions across all generative domains share a Diophantine floor. Many obstructions are not Diophantine in any rigorous sense — they are phenomenological, cognitive, historically constructed, or rooted in physical rather than arithmetic structure. The claim here is narrower: for the specific pair consisting of the Pythagorean comma and the irrationality of √2, the shared Diophantine floor is provable and explanatorily sufficient, and the subsequent response histories exhibit a structural parallel that the shared floor illuminates. Whether the parallel extends to other cases is a testable question, not a settled result.</w:t>
      </w:r>
    </w:p>
    <w:bookmarkEnd w:id="39"/>
    <w:bookmarkStart w:id="40" w:name="explanatory-debts"/>
    <w:p>
      <w:pPr>
        <w:pStyle w:val="Heading3"/>
      </w:pPr>
      <w:r>
        <w:t xml:space="preserve">7.5 Explanatory debts</w:t>
      </w:r>
    </w:p>
    <w:p>
      <w:pPr>
        <w:pStyle w:val="FirstParagraph"/>
      </w:pPr>
      <w:r>
        <w:t xml:space="preserve">Three explanatory debts are owed by the present paper. Naming them explicitly is preferable to leaving them implicit in the paper’s caveats.</w:t>
      </w:r>
    </w:p>
    <w:p>
      <w:pPr>
        <w:pStyle w:val="BodyText"/>
      </w:pPr>
      <w:r>
        <w:t xml:space="preserve">First, the Infrastructure–Distribution–Exploitation cluster assignments in Section 6.3 are interchangeable. The Cauchy/Weierstrass/Dedekind/Cantor figures can be reordered across these three positions without violating the structural argument, because the mathematics tradition resolved its comma through a layered and partially overlapping theoretical development rather than through discrete technical artifacts. Specific figure-to-position mappings in that cluster are illustrative rather than classificatory. The Kronecker/Brouwer Commitment/Refusal anchors are fixed; the cluster around them is not. This is a debt owed to any reader who takes the specific assignments as load-bearing: they are not load-bearing, and the paper’s argument survives their reordering.</w:t>
      </w:r>
    </w:p>
    <w:p>
      <w:pPr>
        <w:pStyle w:val="BodyText"/>
      </w:pPr>
      <w:r>
        <w:t xml:space="preserve">Second, whether the five-position typology generalizes to other Diophantine commas is an open question. Section 7.3 raises candidates — syntonic (81/80), schisma (32805/32768), diaschisma, Metonic cycles, celestial-mechanical near-resonances, cryptographic multiplicative-group problems. Whether each supports a full five-position response history, or whether some cases collapse the typology (for instance, where no Refusal tradition developed, or where Commitment and Exploitation are not distinguishable), requires case-by-case investigation. The paper’s argument for the music/mathematics pair is not a general claim about the typology’s reach. It is a debt to future work.</w:t>
      </w:r>
    </w:p>
    <w:p>
      <w:pPr>
        <w:pStyle w:val="BodyText"/>
      </w:pPr>
      <w:r>
        <w:t xml:space="preserve">Third, whether a single unified Diophantine framework subsumes the rank-1 (FTA-derived) and rank-≥2 (Baker-quantified) cases at higher uniformity — rather than the current two-tier FTA-qualitative + Baker-quantitative framing — is a question requiring engagement with working number theorists. [REVIEW: number theorist] The present paper treats the rank-1 case as a qualitative corollary of the fundamental theorem of arithmetic and the rank-≥2 case as requiring Baker’s theorem (1966) for quantitative bounds on linear forms in logarithms of algebraic numbers. Whether a framework exists — or could be constructed — that handles both cases as instances of a single more uniform phenomenon, rather than as related but methodologically distinct problems, is a debt the paper does not pay. It flags the question as a research direction rather than a settled result.</w:t>
      </w:r>
    </w:p>
    <w:bookmarkEnd w:id="40"/>
    <w:bookmarkEnd w:id="41"/>
    <w:bookmarkStart w:id="42" w:name="note-on-a-related-research-programme"/>
    <w:p>
      <w:pPr>
        <w:pStyle w:val="Heading2"/>
      </w:pPr>
      <w:r>
        <w:t xml:space="preserve">8. Note on a related research programme</w:t>
      </w:r>
    </w:p>
    <w:p>
      <w:pPr>
        <w:pStyle w:val="FirstParagraph"/>
      </w:pPr>
      <w:r>
        <w:t xml:space="preserve">The observations of this paper originate in a broader research programme (FalseWork: Brink 2026a, 2026b, 2026c, 2026d) that proposes a recurring structural pattern — a minimal generative operation whose iteration produces a gap irreducible from within the operation’s own logic — across a range of creative and formal domains. The five-position typology of Section 6 of the present paper is drawn from that programme, where it is derived from a structural argument about how practitioners can stand relative to an irreducible obstruction.</w:t>
      </w:r>
    </w:p>
    <w:p>
      <w:pPr>
        <w:pStyle w:val="BodyText"/>
      </w:pPr>
      <w:r>
        <w:t xml:space="preserve">The present paper’s claims do not depend on the broader programme. They are mathematically grounded in the fundamental theorem of arithmetic and Baker’s theorem, and the historical-structural observation of Section 6 can be evaluated on its own terms. Readers interested in the broader programme — which extends the structural observation to domains (music, cinema, architecture, literature, software, physics) where no Diophantine grounding is available but where analogous positional structures may obtain — are referred to the companion papers.</w:t>
      </w:r>
    </w:p>
    <w:bookmarkEnd w:id="42"/>
    <w:bookmarkStart w:id="45" w:name="acknowledgements"/>
    <w:p>
      <w:pPr>
        <w:pStyle w:val="Heading2"/>
      </w:pPr>
      <w:r>
        <w:t xml:space="preserve">Acknowledgements</w:t>
      </w:r>
    </w:p>
    <w:p>
      <w:pPr>
        <w:pStyle w:val="FirstParagraph"/>
      </w:pPr>
      <w:r>
        <w:t xml:space="preserve">Section 4 of this paper requires vetting by a number theorist before submission; passages marked [REVIEW: number theorist] indicate specific claims that need expert confirmation. The historical claims of Section 5 draw on standard secondary scholarship cited in the references and have been written with appropriate hedging where the primary record (particularly around Hippasus) is uncertain. The structural observation of Section 6 is offered as a defensible reading rather than a settled classification. The author thanks the broader FalseWork research context for the framing that made the observation visible.</w:t>
      </w:r>
    </w:p>
    <w:p>
      <w:pPr>
        <w:pStyle w:val="BodyText"/>
      </w:pPr>
      <w:r>
        <w:t xml:space="preserve">The v1.2 corrections at §§ 2.2, 4.2, and 7.1 — restoration of the 24/41 convergent, re-scoping of</w:t>
      </w:r>
      <w:r>
        <w:t xml:space="preserve"> </w:t>
      </w:r>
      <w:r>
        <w:t xml:space="preserve">“practically usable”</w:t>
      </w:r>
      <w:r>
        <w:t xml:space="preserve"> </w:t>
      </w:r>
      <w:r>
        <w:t xml:space="preserve">temperaments, and removal of the outdated 53-TET keyboard remark — were contributed by</w:t>
      </w:r>
      <w:r>
        <w:t xml:space="preserve"> </w:t>
      </w:r>
      <w:r>
        <w:rPr>
          <w:b/>
          <w:bCs/>
        </w:rPr>
        <w:t xml:space="preserve">suhr</w:t>
      </w:r>
      <w:r>
        <w:t xml:space="preserve"> </w:t>
      </w:r>
      <w:r>
        <w:t xml:space="preserve">via the Lean Zulip chat (2026-04-19). The attribution uses the reviewer’s Zulip display name as a placeholder pending confirmation of a different preferred credit form. The corrections are tracked at GitHub issue</w:t>
      </w:r>
      <w:r>
        <w:t xml:space="preserve"> </w:t>
      </w:r>
      <w:hyperlink r:id="rId43">
        <w:r>
          <w:rPr>
            <w:rStyle w:val="Hyperlink"/>
          </w:rPr>
          <w:t xml:space="preserve">#9</w:t>
        </w:r>
      </w:hyperlink>
      <w:r>
        <w:t xml:space="preserve"> </w:t>
      </w:r>
      <w:r>
        <w:t xml:space="preserve">and recorded in the repository’s</w:t>
      </w:r>
      <w:r>
        <w:t xml:space="preserve"> </w:t>
      </w:r>
      <w:hyperlink r:id="rId44">
        <w:r>
          <w:rPr>
            <w:rStyle w:val="Hyperlink"/>
          </w:rPr>
          <w:t xml:space="preserve">ACKNOWLEDGEMENTS.md</w:t>
        </w:r>
      </w:hyperlink>
      <w:r>
        <w:t xml:space="preserve">.</w:t>
      </w:r>
    </w:p>
    <w:bookmarkEnd w:id="45"/>
    <w:bookmarkStart w:id="46" w:name="references"/>
    <w:p>
      <w:pPr>
        <w:pStyle w:val="Heading2"/>
      </w:pPr>
      <w:r>
        <w:t xml:space="preserve">References</w:t>
      </w:r>
    </w:p>
    <w:p>
      <w:pPr>
        <w:pStyle w:val="FirstParagraph"/>
      </w:pPr>
      <w:r>
        <w:rPr>
          <w:b/>
          <w:bCs/>
        </w:rPr>
        <w:t xml:space="preserve">Mathematics — Baker’s theorem, Diophantine approximation, and foundations.</w:t>
      </w:r>
    </w:p>
    <w:p>
      <w:pPr>
        <w:pStyle w:val="BodyText"/>
      </w:pPr>
      <w:r>
        <w:t xml:space="preserve">Baker, A. (1966). Linear forms in the logarithms of algebraic numbers I.</w:t>
      </w:r>
      <w:r>
        <w:t xml:space="preserve"> </w:t>
      </w:r>
      <w:r>
        <w:rPr>
          <w:i/>
          <w:iCs/>
        </w:rPr>
        <w:t xml:space="preserve">Mathematika</w:t>
      </w:r>
      <w:r>
        <w:t xml:space="preserve">, 13, 204–216.</w:t>
      </w:r>
    </w:p>
    <w:p>
      <w:pPr>
        <w:pStyle w:val="BodyText"/>
      </w:pPr>
      <w:r>
        <w:t xml:space="preserve">Baker, A. (1967a). Linear forms in the logarithms of algebraic numbers II.</w:t>
      </w:r>
      <w:r>
        <w:t xml:space="preserve"> </w:t>
      </w:r>
      <w:r>
        <w:rPr>
          <w:i/>
          <w:iCs/>
        </w:rPr>
        <w:t xml:space="preserve">Mathematika</w:t>
      </w:r>
      <w:r>
        <w:t xml:space="preserve">, 14, 102–107.</w:t>
      </w:r>
    </w:p>
    <w:p>
      <w:pPr>
        <w:pStyle w:val="BodyText"/>
      </w:pPr>
      <w:r>
        <w:t xml:space="preserve">Baker, A. (1967b). Linear forms in the logarithms of algebraic numbers III.</w:t>
      </w:r>
      <w:r>
        <w:t xml:space="preserve"> </w:t>
      </w:r>
      <w:r>
        <w:rPr>
          <w:i/>
          <w:iCs/>
        </w:rPr>
        <w:t xml:space="preserve">Mathematika</w:t>
      </w:r>
      <w:r>
        <w:t xml:space="preserve">, 14, 220–228.</w:t>
      </w:r>
    </w:p>
    <w:p>
      <w:pPr>
        <w:pStyle w:val="BodyText"/>
      </w:pPr>
      <w:r>
        <w:t xml:space="preserve">Baker, A. (1968). Linear forms in the logarithms of algebraic numbers IV.</w:t>
      </w:r>
      <w:r>
        <w:t xml:space="preserve"> </w:t>
      </w:r>
      <w:r>
        <w:rPr>
          <w:i/>
          <w:iCs/>
        </w:rPr>
        <w:t xml:space="preserve">Mathematika</w:t>
      </w:r>
      <w:r>
        <w:t xml:space="preserve">, 15, 204–216.</w:t>
      </w:r>
    </w:p>
    <w:p>
      <w:pPr>
        <w:pStyle w:val="BodyText"/>
      </w:pPr>
      <w:r>
        <w:t xml:space="preserve">Baker, A. (1975).</w:t>
      </w:r>
      <w:r>
        <w:t xml:space="preserve"> </w:t>
      </w:r>
      <w:r>
        <w:rPr>
          <w:i/>
          <w:iCs/>
        </w:rPr>
        <w:t xml:space="preserve">Transcendental number theory</w:t>
      </w:r>
      <w:r>
        <w:t xml:space="preserve">. Cambridge University Press.</w:t>
      </w:r>
    </w:p>
    <w:p>
      <w:pPr>
        <w:pStyle w:val="BodyText"/>
      </w:pPr>
      <w:r>
        <w:t xml:space="preserve">Bishop, E. (1967).</w:t>
      </w:r>
      <w:r>
        <w:t xml:space="preserve"> </w:t>
      </w:r>
      <w:r>
        <w:rPr>
          <w:i/>
          <w:iCs/>
        </w:rPr>
        <w:t xml:space="preserve">Foundations of constructive analysis</w:t>
      </w:r>
      <w:r>
        <w:t xml:space="preserve">. McGraw-Hill.</w:t>
      </w:r>
    </w:p>
    <w:p>
      <w:pPr>
        <w:pStyle w:val="BodyText"/>
      </w:pPr>
      <w:r>
        <w:t xml:space="preserve">Brouwer, L. E. J. (1907).</w:t>
      </w:r>
      <w:r>
        <w:t xml:space="preserve"> </w:t>
      </w:r>
      <w:r>
        <w:rPr>
          <w:i/>
          <w:iCs/>
        </w:rPr>
        <w:t xml:space="preserve">Over de grondslagen der wiskunde</w:t>
      </w:r>
      <w:r>
        <w:t xml:space="preserve"> </w:t>
      </w:r>
      <w:r>
        <w:t xml:space="preserve">[On the foundations of mathematics]. Doctoral thesis, University of Amsterdam.</w:t>
      </w:r>
    </w:p>
    <w:p>
      <w:pPr>
        <w:pStyle w:val="BodyText"/>
      </w:pPr>
      <w:r>
        <w:t xml:space="preserve">Cantor, G. (1874). Über eine Eigenschaft des Inbegriffes aller reellen algebraischen Zahlen.</w:t>
      </w:r>
      <w:r>
        <w:t xml:space="preserve"> </w:t>
      </w:r>
      <w:r>
        <w:rPr>
          <w:i/>
          <w:iCs/>
        </w:rPr>
        <w:t xml:space="preserve">Journal für die reine und angewandte Mathematik</w:t>
      </w:r>
      <w:r>
        <w:t xml:space="preserve">, 77, 258–262.</w:t>
      </w:r>
    </w:p>
    <w:p>
      <w:pPr>
        <w:pStyle w:val="BodyText"/>
      </w:pPr>
      <w:r>
        <w:t xml:space="preserve">Cantor, G. (1891). Über eine elementare Frage der Mannigfaltigkeitslehre.</w:t>
      </w:r>
      <w:r>
        <w:t xml:space="preserve"> </w:t>
      </w:r>
      <w:r>
        <w:rPr>
          <w:i/>
          <w:iCs/>
        </w:rPr>
        <w:t xml:space="preserve">Jahresbericht der Deutschen Mathematiker-Vereinigung</w:t>
      </w:r>
      <w:r>
        <w:t xml:space="preserve">, 1, 75–78.</w:t>
      </w:r>
    </w:p>
    <w:p>
      <w:pPr>
        <w:pStyle w:val="BodyText"/>
      </w:pPr>
      <w:r>
        <w:t xml:space="preserve">Cauchy, A.-L. (1821).</w:t>
      </w:r>
      <w:r>
        <w:t xml:space="preserve"> </w:t>
      </w:r>
      <w:r>
        <w:rPr>
          <w:i/>
          <w:iCs/>
        </w:rPr>
        <w:t xml:space="preserve">Cours d’analyse</w:t>
      </w:r>
      <w:r>
        <w:t xml:space="preserve">. Paris.</w:t>
      </w:r>
    </w:p>
    <w:p>
      <w:pPr>
        <w:pStyle w:val="BodyText"/>
      </w:pPr>
      <w:r>
        <w:t xml:space="preserve">Dedekind, R. (1872).</w:t>
      </w:r>
      <w:r>
        <w:t xml:space="preserve"> </w:t>
      </w:r>
      <w:r>
        <w:rPr>
          <w:i/>
          <w:iCs/>
        </w:rPr>
        <w:t xml:space="preserve">Stetigkeit und irrationale Zahlen</w:t>
      </w:r>
      <w:r>
        <w:t xml:space="preserve">. Vieweg.</w:t>
      </w:r>
    </w:p>
    <w:p>
      <w:pPr>
        <w:pStyle w:val="BodyText"/>
      </w:pPr>
      <w:r>
        <w:t xml:space="preserve">Dedekind, R. (1888).</w:t>
      </w:r>
      <w:r>
        <w:t xml:space="preserve"> </w:t>
      </w:r>
      <w:r>
        <w:rPr>
          <w:i/>
          <w:iCs/>
        </w:rPr>
        <w:t xml:space="preserve">Was sind und was sollen die Zahlen?</w:t>
      </w:r>
      <w:r>
        <w:t xml:space="preserve"> </w:t>
      </w:r>
      <w:r>
        <w:t xml:space="preserve">Vieweg.</w:t>
      </w:r>
    </w:p>
    <w:p>
      <w:pPr>
        <w:pStyle w:val="BodyText"/>
      </w:pPr>
      <w:r>
        <w:t xml:space="preserve">Gelfond, A. O. (1960).</w:t>
      </w:r>
      <w:r>
        <w:t xml:space="preserve"> </w:t>
      </w:r>
      <w:r>
        <w:rPr>
          <w:i/>
          <w:iCs/>
        </w:rPr>
        <w:t xml:space="preserve">Transcendental and algebraic numbers</w:t>
      </w:r>
      <w:r>
        <w:t xml:space="preserve">. Dover.</w:t>
      </w:r>
    </w:p>
    <w:p>
      <w:pPr>
        <w:pStyle w:val="BodyText"/>
      </w:pPr>
      <w:r>
        <w:t xml:space="preserve">Hardy, G. H., &amp; Wright, E. M. (2008).</w:t>
      </w:r>
      <w:r>
        <w:t xml:space="preserve"> </w:t>
      </w:r>
      <w:r>
        <w:rPr>
          <w:i/>
          <w:iCs/>
        </w:rPr>
        <w:t xml:space="preserve">An introduction to the theory of numbers</w:t>
      </w:r>
      <w:r>
        <w:t xml:space="preserve"> </w:t>
      </w:r>
      <w:r>
        <w:t xml:space="preserve">(6th ed., revised by D. R. Heath-Brown and J. H. Silverman). Oxford University Press.</w:t>
      </w:r>
    </w:p>
    <w:p>
      <w:pPr>
        <w:pStyle w:val="BodyText"/>
      </w:pPr>
      <w:r>
        <w:t xml:space="preserve">Hermite, C. (1873). Sur la fonction exponentielle.</w:t>
      </w:r>
      <w:r>
        <w:t xml:space="preserve"> </w:t>
      </w:r>
      <w:r>
        <w:rPr>
          <w:i/>
          <w:iCs/>
        </w:rPr>
        <w:t xml:space="preserve">Comptes Rendus de l’Académie des Sciences (Paris)</w:t>
      </w:r>
      <w:r>
        <w:t xml:space="preserve">, 77, 18–24, 74–79, 226–233, 285–293.</w:t>
      </w:r>
    </w:p>
    <w:p>
      <w:pPr>
        <w:pStyle w:val="BodyText"/>
      </w:pPr>
      <w:r>
        <w:t xml:space="preserve">Heyting, A. (1930). Die formalen Regeln der intuitionistischen Logik.</w:t>
      </w:r>
      <w:r>
        <w:t xml:space="preserve"> </w:t>
      </w:r>
      <w:r>
        <w:rPr>
          <w:i/>
          <w:iCs/>
        </w:rPr>
        <w:t xml:space="preserve">Sitzungsberichte der Preussischen Akademie der Wissenschaften</w:t>
      </w:r>
      <w:r>
        <w:t xml:space="preserve">, 42–56.</w:t>
      </w:r>
    </w:p>
    <w:p>
      <w:pPr>
        <w:pStyle w:val="BodyText"/>
      </w:pPr>
      <w:r>
        <w:t xml:space="preserve">Khinchin, A. Y. (1964).</w:t>
      </w:r>
      <w:r>
        <w:t xml:space="preserve"> </w:t>
      </w:r>
      <w:r>
        <w:rPr>
          <w:i/>
          <w:iCs/>
        </w:rPr>
        <w:t xml:space="preserve">Continued fractions</w:t>
      </w:r>
      <w:r>
        <w:t xml:space="preserve">. University of Chicago Press.</w:t>
      </w:r>
    </w:p>
    <w:p>
      <w:pPr>
        <w:pStyle w:val="BodyText"/>
      </w:pPr>
      <w:r>
        <w:t xml:space="preserve">Kronecker, L. (1887). Über den Zahlbegriff.</w:t>
      </w:r>
      <w:r>
        <w:t xml:space="preserve"> </w:t>
      </w:r>
      <w:r>
        <w:rPr>
          <w:i/>
          <w:iCs/>
        </w:rPr>
        <w:t xml:space="preserve">Journal für die reine und angewandte Mathematik</w:t>
      </w:r>
      <w:r>
        <w:t xml:space="preserve">, 101, 337–355.</w:t>
      </w:r>
    </w:p>
    <w:p>
      <w:pPr>
        <w:pStyle w:val="BodyText"/>
      </w:pPr>
      <w:r>
        <w:t xml:space="preserve">Lindemann, F. (1882). Über die Zahl π.</w:t>
      </w:r>
      <w:r>
        <w:t xml:space="preserve"> </w:t>
      </w:r>
      <w:r>
        <w:rPr>
          <w:i/>
          <w:iCs/>
        </w:rPr>
        <w:t xml:space="preserve">Mathematische Annalen</w:t>
      </w:r>
      <w:r>
        <w:t xml:space="preserve">, 20, 213–225.</w:t>
      </w:r>
    </w:p>
    <w:p>
      <w:pPr>
        <w:pStyle w:val="BodyText"/>
      </w:pPr>
      <w:r>
        <w:t xml:space="preserve">Martin-Löf, P. (1984).</w:t>
      </w:r>
      <w:r>
        <w:t xml:space="preserve"> </w:t>
      </w:r>
      <w:r>
        <w:rPr>
          <w:i/>
          <w:iCs/>
        </w:rPr>
        <w:t xml:space="preserve">Intuitionistic type theory</w:t>
      </w:r>
      <w:r>
        <w:t xml:space="preserve">. Bibliopolis.</w:t>
      </w:r>
    </w:p>
    <w:p>
      <w:pPr>
        <w:pStyle w:val="BodyText"/>
      </w:pPr>
      <w:r>
        <w:t xml:space="preserve">Schneider, T. (1957).</w:t>
      </w:r>
      <w:r>
        <w:t xml:space="preserve"> </w:t>
      </w:r>
      <w:r>
        <w:rPr>
          <w:i/>
          <w:iCs/>
        </w:rPr>
        <w:t xml:space="preserve">Einführung in die transzendenten Zahlen</w:t>
      </w:r>
      <w:r>
        <w:t xml:space="preserve">. Springer.</w:t>
      </w:r>
    </w:p>
    <w:p>
      <w:pPr>
        <w:pStyle w:val="BodyText"/>
      </w:pPr>
      <w:r>
        <w:t xml:space="preserve">Weber, H. (1893). Leopold Kronecker.</w:t>
      </w:r>
      <w:r>
        <w:t xml:space="preserve"> </w:t>
      </w:r>
      <w:r>
        <w:rPr>
          <w:i/>
          <w:iCs/>
        </w:rPr>
        <w:t xml:space="preserve">Jahresbericht der Deutschen Mathematiker-Vereinigung</w:t>
      </w:r>
      <w:r>
        <w:t xml:space="preserve">, 2, 5–31.</w:t>
      </w:r>
    </w:p>
    <w:p>
      <w:pPr>
        <w:pStyle w:val="BodyText"/>
      </w:pPr>
      <w:r>
        <w:t xml:space="preserve">Weyl, H. (1918).</w:t>
      </w:r>
      <w:r>
        <w:t xml:space="preserve"> </w:t>
      </w:r>
      <w:r>
        <w:rPr>
          <w:i/>
          <w:iCs/>
        </w:rPr>
        <w:t xml:space="preserve">Das Kontinuum</w:t>
      </w:r>
      <w:r>
        <w:t xml:space="preserve">. Veit.</w:t>
      </w:r>
    </w:p>
    <w:p>
      <w:pPr>
        <w:pStyle w:val="BodyText"/>
      </w:pPr>
      <w:r>
        <w:rPr>
          <w:b/>
          <w:bCs/>
        </w:rPr>
        <w:t xml:space="preserve">Music theory — temperament, tuning, and historical sources.</w:t>
      </w:r>
    </w:p>
    <w:p>
      <w:pPr>
        <w:pStyle w:val="BodyText"/>
      </w:pPr>
      <w:r>
        <w:t xml:space="preserve">Barbour, J. M. (1951).</w:t>
      </w:r>
      <w:r>
        <w:t xml:space="preserve"> </w:t>
      </w:r>
      <w:r>
        <w:rPr>
          <w:i/>
          <w:iCs/>
        </w:rPr>
        <w:t xml:space="preserve">Tuning and temperament: A historical survey</w:t>
      </w:r>
      <w:r>
        <w:t xml:space="preserve">. Michigan State College Press.</w:t>
      </w:r>
    </w:p>
    <w:p>
      <w:pPr>
        <w:pStyle w:val="BodyText"/>
      </w:pPr>
      <w:r>
        <w:t xml:space="preserve">Blackwood, E. (1985).</w:t>
      </w:r>
      <w:r>
        <w:t xml:space="preserve"> </w:t>
      </w:r>
      <w:r>
        <w:rPr>
          <w:i/>
          <w:iCs/>
        </w:rPr>
        <w:t xml:space="preserve">The structure of recognizable diatonic tunings</w:t>
      </w:r>
      <w:r>
        <w:t xml:space="preserve">. Princeton University Press.</w:t>
      </w:r>
    </w:p>
    <w:p>
      <w:pPr>
        <w:pStyle w:val="BodyText"/>
      </w:pPr>
      <w:r>
        <w:t xml:space="preserve">Boethius, A. M. S. (c. 520 CE).</w:t>
      </w:r>
      <w:r>
        <w:t xml:space="preserve"> </w:t>
      </w:r>
      <w:r>
        <w:rPr>
          <w:i/>
          <w:iCs/>
        </w:rPr>
        <w:t xml:space="preserve">De institutione musica</w:t>
      </w:r>
      <w:r>
        <w:t xml:space="preserve">. (Translated by C. M. Bower, 1989, as</w:t>
      </w:r>
      <w:r>
        <w:t xml:space="preserve"> </w:t>
      </w:r>
      <w:r>
        <w:rPr>
          <w:i/>
          <w:iCs/>
        </w:rPr>
        <w:t xml:space="preserve">Fundamentals of music</w:t>
      </w:r>
      <w:r>
        <w:t xml:space="preserve">. Yale University Press.)</w:t>
      </w:r>
    </w:p>
    <w:p>
      <w:pPr>
        <w:pStyle w:val="BodyText"/>
      </w:pPr>
      <w:r>
        <w:t xml:space="preserve">Duffin, R. W. (2007).</w:t>
      </w:r>
      <w:r>
        <w:t xml:space="preserve"> </w:t>
      </w:r>
      <w:r>
        <w:rPr>
          <w:i/>
          <w:iCs/>
        </w:rPr>
        <w:t xml:space="preserve">How equal temperament ruined harmony</w:t>
      </w:r>
      <w:r>
        <w:t xml:space="preserve">. Norton.</w:t>
      </w:r>
    </w:p>
    <w:p>
      <w:pPr>
        <w:pStyle w:val="BodyText"/>
      </w:pPr>
      <w:r>
        <w:t xml:space="preserve">Galilei, V. (1581).</w:t>
      </w:r>
      <w:r>
        <w:t xml:space="preserve"> </w:t>
      </w:r>
      <w:r>
        <w:rPr>
          <w:i/>
          <w:iCs/>
        </w:rPr>
        <w:t xml:space="preserve">Dialogo della musica antica et della moderna</w:t>
      </w:r>
      <w:r>
        <w:t xml:space="preserve">. Florence.</w:t>
      </w:r>
    </w:p>
    <w:p>
      <w:pPr>
        <w:pStyle w:val="BodyText"/>
      </w:pPr>
      <w:r>
        <w:t xml:space="preserve">Lindley, M. (1984).</w:t>
      </w:r>
      <w:r>
        <w:t xml:space="preserve"> </w:t>
      </w:r>
      <w:r>
        <w:rPr>
          <w:i/>
          <w:iCs/>
        </w:rPr>
        <w:t xml:space="preserve">Lutes, viols and temperaments</w:t>
      </w:r>
      <w:r>
        <w:t xml:space="preserve">. Cambridge University Press.</w:t>
      </w:r>
    </w:p>
    <w:p>
      <w:pPr>
        <w:pStyle w:val="BodyText"/>
      </w:pPr>
      <w:r>
        <w:t xml:space="preserve">Nicomachus of Gerasa (c. 100 CE).</w:t>
      </w:r>
      <w:r>
        <w:t xml:space="preserve"> </w:t>
      </w:r>
      <w:r>
        <w:rPr>
          <w:i/>
          <w:iCs/>
        </w:rPr>
        <w:t xml:space="preserve">Manual of harmonics</w:t>
      </w:r>
      <w:r>
        <w:t xml:space="preserve">. (Translated by F. R. Levin, 1994. Phanes Press.)</w:t>
      </w:r>
    </w:p>
    <w:p>
      <w:pPr>
        <w:pStyle w:val="BodyText"/>
      </w:pPr>
      <w:r>
        <w:t xml:space="preserve">Partch, H. (1974).</w:t>
      </w:r>
      <w:r>
        <w:t xml:space="preserve"> </w:t>
      </w:r>
      <w:r>
        <w:rPr>
          <w:i/>
          <w:iCs/>
        </w:rPr>
        <w:t xml:space="preserve">Genesis of a music</w:t>
      </w:r>
      <w:r>
        <w:t xml:space="preserve"> </w:t>
      </w:r>
      <w:r>
        <w:t xml:space="preserve">(2nd ed.). Da Capo.</w:t>
      </w:r>
    </w:p>
    <w:p>
      <w:pPr>
        <w:pStyle w:val="BodyText"/>
      </w:pPr>
      <w:r>
        <w:t xml:space="preserve">Rameau, J.-P. (1722).</w:t>
      </w:r>
      <w:r>
        <w:t xml:space="preserve"> </w:t>
      </w:r>
      <w:r>
        <w:rPr>
          <w:i/>
          <w:iCs/>
        </w:rPr>
        <w:t xml:space="preserve">Traité de l’harmonie réduite à ses principes naturels</w:t>
      </w:r>
      <w:r>
        <w:t xml:space="preserve">. Paris.</w:t>
      </w:r>
    </w:p>
    <w:p>
      <w:pPr>
        <w:pStyle w:val="BodyText"/>
      </w:pPr>
      <w:r>
        <w:t xml:space="preserve">Stevin, S. (c. 1585; published 1884). Vande spiegheling der singconst. In</w:t>
      </w:r>
      <w:r>
        <w:t xml:space="preserve"> </w:t>
      </w:r>
      <w:r>
        <w:rPr>
          <w:i/>
          <w:iCs/>
        </w:rPr>
        <w:t xml:space="preserve">The principal works of Simon Stevin</w:t>
      </w:r>
      <w:r>
        <w:t xml:space="preserve">.</w:t>
      </w:r>
    </w:p>
    <w:p>
      <w:pPr>
        <w:pStyle w:val="BodyText"/>
      </w:pPr>
      <w:r>
        <w:t xml:space="preserve">Werckmeister, A. (1691).</w:t>
      </w:r>
      <w:r>
        <w:t xml:space="preserve"> </w:t>
      </w:r>
      <w:r>
        <w:rPr>
          <w:i/>
          <w:iCs/>
        </w:rPr>
        <w:t xml:space="preserve">Musicalische Temperatur</w:t>
      </w:r>
      <w:r>
        <w:t xml:space="preserve">. Quedlinburg.</w:t>
      </w:r>
    </w:p>
    <w:p>
      <w:pPr>
        <w:pStyle w:val="BodyText"/>
      </w:pPr>
      <w:r>
        <w:t xml:space="preserve">Zarlino, G. (1558).</w:t>
      </w:r>
      <w:r>
        <w:t xml:space="preserve"> </w:t>
      </w:r>
      <w:r>
        <w:rPr>
          <w:i/>
          <w:iCs/>
        </w:rPr>
        <w:t xml:space="preserve">Le istitutioni harmoniche</w:t>
      </w:r>
      <w:r>
        <w:t xml:space="preserve">. Venice.</w:t>
      </w:r>
    </w:p>
    <w:p>
      <w:pPr>
        <w:pStyle w:val="BodyText"/>
      </w:pPr>
      <w:r>
        <w:t xml:space="preserve">Zhu Zaiyu </w:t>
      </w:r>
      <w:r>
        <w:rPr>
          <w:rFonts w:hint="eastAsia"/>
        </w:rPr>
        <w:t xml:space="preserve">(朱載堉)</w:t>
      </w:r>
      <w:r>
        <w:t xml:space="preserve"> (1584).</w:t>
      </w:r>
      <w:r>
        <w:t xml:space="preserve"> </w:t>
      </w:r>
      <w:r>
        <w:rPr>
          <w:i/>
          <w:iCs/>
        </w:rPr>
        <w:t xml:space="preserve">Lülü jingyi</w:t>
      </w:r>
      <w:r>
        <w:t xml:space="preserve"> </w:t>
      </w:r>
      <w:r>
        <w:rPr>
          <w:rFonts w:hint="eastAsia"/>
        </w:rPr>
        <w:t xml:space="preserve">(律呂精義).</w:t>
      </w:r>
      <w:r>
        <w:t xml:space="preserve"> (Standard reference for independent Chinese derivation of equal temperament; see Needham, J., 1962,</w:t>
      </w:r>
      <w:r>
        <w:t xml:space="preserve"> </w:t>
      </w:r>
      <w:r>
        <w:rPr>
          <w:i/>
          <w:iCs/>
        </w:rPr>
        <w:t xml:space="preserve">Science and civilisation in China</w:t>
      </w:r>
      <w:r>
        <w:t xml:space="preserve">, Vol. 4, Part 1, Cambridge University Press.)</w:t>
      </w:r>
    </w:p>
    <w:p>
      <w:pPr>
        <w:pStyle w:val="BodyText"/>
      </w:pPr>
      <w:r>
        <w:rPr>
          <w:b/>
          <w:bCs/>
        </w:rPr>
        <w:t xml:space="preserve">Ancient Greek mathematics and the Pythagorean school.</w:t>
      </w:r>
    </w:p>
    <w:p>
      <w:pPr>
        <w:pStyle w:val="BodyText"/>
      </w:pPr>
      <w:r>
        <w:t xml:space="preserve">Fowler, D. H. (1987).</w:t>
      </w:r>
      <w:r>
        <w:t xml:space="preserve"> </w:t>
      </w:r>
      <w:r>
        <w:rPr>
          <w:i/>
          <w:iCs/>
        </w:rPr>
        <w:t xml:space="preserve">The mathematics of Plato’s Academy: A new reconstruction</w:t>
      </w:r>
      <w:r>
        <w:t xml:space="preserve">. Oxford University Press.</w:t>
      </w:r>
    </w:p>
    <w:p>
      <w:pPr>
        <w:pStyle w:val="BodyText"/>
      </w:pPr>
      <w:r>
        <w:t xml:space="preserve">Heath, T. L. (1921).</w:t>
      </w:r>
      <w:r>
        <w:t xml:space="preserve"> </w:t>
      </w:r>
      <w:r>
        <w:rPr>
          <w:i/>
          <w:iCs/>
        </w:rPr>
        <w:t xml:space="preserve">A history of Greek mathematics</w:t>
      </w:r>
      <w:r>
        <w:t xml:space="preserve"> </w:t>
      </w:r>
      <w:r>
        <w:t xml:space="preserve">(2 vols.). Oxford University Press.</w:t>
      </w:r>
    </w:p>
    <w:p>
      <w:pPr>
        <w:pStyle w:val="BodyText"/>
      </w:pPr>
      <w:r>
        <w:t xml:space="preserve">Huffman, C. A. (1993).</w:t>
      </w:r>
      <w:r>
        <w:t xml:space="preserve"> </w:t>
      </w:r>
      <w:r>
        <w:rPr>
          <w:i/>
          <w:iCs/>
        </w:rPr>
        <w:t xml:space="preserve">Philolaus of Croton: Pythagorean and Presocratic</w:t>
      </w:r>
      <w:r>
        <w:t xml:space="preserve">. Cambridge University Press.</w:t>
      </w:r>
    </w:p>
    <w:p>
      <w:pPr>
        <w:pStyle w:val="BodyText"/>
      </w:pPr>
      <w:r>
        <w:t xml:space="preserve">Huffman, C. A. (2005).</w:t>
      </w:r>
      <w:r>
        <w:t xml:space="preserve"> </w:t>
      </w:r>
      <w:r>
        <w:rPr>
          <w:i/>
          <w:iCs/>
        </w:rPr>
        <w:t xml:space="preserve">Archytas of Tarentum: Pythagorean, philosopher and mathematician king</w:t>
      </w:r>
      <w:r>
        <w:t xml:space="preserve">. Cambridge University Press.</w:t>
      </w:r>
    </w:p>
    <w:p>
      <w:pPr>
        <w:pStyle w:val="BodyText"/>
      </w:pPr>
      <w:r>
        <w:t xml:space="preserve">Kahn, C. H. (2001).</w:t>
      </w:r>
      <w:r>
        <w:t xml:space="preserve"> </w:t>
      </w:r>
      <w:r>
        <w:rPr>
          <w:i/>
          <w:iCs/>
        </w:rPr>
        <w:t xml:space="preserve">Pythagoras and the Pythagoreans: A brief history</w:t>
      </w:r>
      <w:r>
        <w:t xml:space="preserve">. Hackett.</w:t>
      </w:r>
    </w:p>
    <w:p>
      <w:pPr>
        <w:pStyle w:val="BodyText"/>
      </w:pPr>
      <w:r>
        <w:t xml:space="preserve">Knorr, W. R. (1975).</w:t>
      </w:r>
      <w:r>
        <w:t xml:space="preserve"> </w:t>
      </w:r>
      <w:r>
        <w:rPr>
          <w:i/>
          <w:iCs/>
        </w:rPr>
        <w:t xml:space="preserve">The evolution of the Euclidean Elements</w:t>
      </w:r>
      <w:r>
        <w:t xml:space="preserve">. D. Reidel.</w:t>
      </w:r>
    </w:p>
    <w:p>
      <w:pPr>
        <w:pStyle w:val="BodyText"/>
      </w:pPr>
      <w:r>
        <w:rPr>
          <w:b/>
          <w:bCs/>
        </w:rPr>
        <w:t xml:space="preserve">Methodology and research programmes.</w:t>
      </w:r>
    </w:p>
    <w:p>
      <w:pPr>
        <w:pStyle w:val="BodyText"/>
      </w:pPr>
      <w:r>
        <w:t xml:space="preserve">Lakatos, I. (1976).</w:t>
      </w:r>
      <w:r>
        <w:t xml:space="preserve"> </w:t>
      </w:r>
      <w:r>
        <w:rPr>
          <w:i/>
          <w:iCs/>
        </w:rPr>
        <w:t xml:space="preserve">Proofs and refutations: The logic of mathematical discovery</w:t>
      </w:r>
      <w:r>
        <w:t xml:space="preserve">. Cambridge University Press.</w:t>
      </w:r>
    </w:p>
    <w:p>
      <w:pPr>
        <w:pStyle w:val="BodyText"/>
      </w:pPr>
      <w:r>
        <w:t xml:space="preserve">Lakatos, I. (1978).</w:t>
      </w:r>
      <w:r>
        <w:t xml:space="preserve"> </w:t>
      </w:r>
      <w:r>
        <w:rPr>
          <w:i/>
          <w:iCs/>
        </w:rPr>
        <w:t xml:space="preserve">The methodology of scientific research programmes</w:t>
      </w:r>
      <w:r>
        <w:t xml:space="preserve"> </w:t>
      </w:r>
      <w:r>
        <w:t xml:space="preserve">(Philosophical papers, Vol. 1). Cambridge University Press.</w:t>
      </w:r>
    </w:p>
    <w:p>
      <w:pPr>
        <w:pStyle w:val="BodyText"/>
      </w:pPr>
      <w:r>
        <w:rPr>
          <w:b/>
          <w:bCs/>
        </w:rPr>
        <w:t xml:space="preserve">FalseWork programme (cited only in Section 8).</w:t>
      </w:r>
    </w:p>
    <w:p>
      <w:pPr>
        <w:pStyle w:val="BodyText"/>
      </w:pPr>
      <w:r>
        <w:t xml:space="preserve">Brink, C. (2026a). Kernels and commas: A structural derivation of universal positions in domains with self-limiting generative operations. MetaArXiv. https://osf.io/preprints/metaarxiv</w:t>
      </w:r>
    </w:p>
    <w:p>
      <w:pPr>
        <w:pStyle w:val="BodyText"/>
      </w:pPr>
      <w:r>
        <w:t xml:space="preserve">Brink, C. (2026b). Epistemic dependency as structural condition: A live case study in AI-assisted theoretical framework development. Manuscript.</w:t>
      </w:r>
    </w:p>
    <w:p>
      <w:pPr>
        <w:pStyle w:val="BodyText"/>
      </w:pPr>
      <w:r>
        <w:t xml:space="preserve">Brink, C. (2026c). The distinction operation and the generative floor: Asymmetry, incompleteness, and the structural unity of domain kernels. Manuscript.</w:t>
      </w:r>
    </w:p>
    <w:p>
      <w:pPr>
        <w:pStyle w:val="BodyText"/>
      </w:pPr>
      <w:r>
        <w:t xml:space="preserve">Brink, C. (2026d). Mathematics as comma: The distinction operation and the unreasonable effectiveness of formal systems. Manuscript.</w:t>
      </w:r>
    </w:p>
    <w:p>
      <w:pPr>
        <w:pStyle w:val="BodyText"/>
      </w:pPr>
      <w:r>
        <w:rPr>
          <w:b/>
          <w:bCs/>
        </w:rPr>
        <w:t xml:space="preserve">Further reading — community resources.</w:t>
      </w:r>
    </w:p>
    <w:p>
      <w:pPr>
        <w:pStyle w:val="BodyText"/>
      </w:pPr>
      <w:r>
        <w:t xml:space="preserve">Xenharmonic Wiki.</w:t>
      </w:r>
      <w:r>
        <w:t xml:space="preserve"> </w:t>
      </w:r>
      <w:r>
        <w:rPr>
          <w:i/>
          <w:iCs/>
        </w:rPr>
        <w:t xml:space="preserve">Community-maintained reference on alternate tunings and microtonal practice.</w:t>
      </w:r>
      <w:r>
        <w:t xml:space="preserve"> </w:t>
      </w:r>
      <w:r>
        <w:t xml:space="preserve">https://en.xen.wiki/ (accessed 2026-04). Detailed entries on the 31-, 41-, and 53-TET systems discussed in §§ 2.2, 4.2, and 7.1, as well as the broader landscape of equal-temperament approximations to higher-prime harmonic limits (5-, 7-, 11-limit subgroups). Pointer contributed by</w:t>
      </w:r>
      <w:r>
        <w:t xml:space="preserve"> </w:t>
      </w:r>
      <w:r>
        <w:rPr>
          <w:b/>
          <w:bCs/>
        </w:rPr>
        <w:t xml:space="preserve">suhr</w:t>
      </w:r>
      <w:r>
        <w:t xml:space="preserve"> </w:t>
      </w:r>
      <w:r>
        <w:t xml:space="preserve">via Lean Zulip chat (2026-04-19).</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https://github.com/thefalsework/papers/blob/main/ACKNOWLEDGEMENTS.md" TargetMode="External" /><Relationship Type="http://schemas.openxmlformats.org/officeDocument/2006/relationships/hyperlink" Id="rId43" Target="https://github.com/thefalsework/papers/issues/9" TargetMode="External" /></Relationships>
</file>

<file path=word/_rels/footnotes.xml.rels><?xml version="1.0" encoding="UTF-8"?><Relationships xmlns="http://schemas.openxmlformats.org/package/2006/relationships"><Relationship Type="http://schemas.openxmlformats.org/officeDocument/2006/relationships/hyperlink" Id="rId44" Target="https://github.com/thefalsework/papers/blob/main/ACKNOWLEDGEMENTS.md" TargetMode="External" /><Relationship Type="http://schemas.openxmlformats.org/officeDocument/2006/relationships/hyperlink" Id="rId43" Target="https://github.com/thefalsework/papers/issues/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2026-04-22T20:38:36Z</dcterms:created>
  <dcterms:modified xsi:type="dcterms:W3CDTF">2026-04-22T20:38:36Z</dcterms:modified>
</cp:coreProperties>
</file>

<file path=docProps/custom.xml><?xml version="1.0" encoding="utf-8"?>
<Properties xmlns="http://schemas.openxmlformats.org/officeDocument/2006/custom-properties" xmlns:vt="http://schemas.openxmlformats.org/officeDocument/2006/docPropsVTypes"/>
</file>