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Chris Brink</w:t>
      </w:r>
    </w:p>
    <w:p>
      <w:pPr>
        <w:pStyle w:val="BodyText"/>
      </w:pPr>
      <w:r>
        <w:t xml:space="preserve">FalseWork (falsework.dev)</w:t>
      </w:r>
    </w:p>
    <w:p>
      <w:pPr>
        <w:pStyle w:val="BodyText"/>
      </w:pPr>
      <w:r>
        <w:rPr>
          <w:i/>
          <w:iCs/>
        </w:rPr>
        <w:t xml:space="preserve">Version 5.2. Revisions from version 5.1: § 7 closes with a positioning paragraph engaging Wolfram 2026 (</w:t>
      </w:r>
      <w:r>
        <w:rPr>
          <w:i/>
          <w:iCs/>
        </w:rPr>
        <w:t xml:space="preserve">“What Ultimately Is There? Metaphysics and the Ruliad,”</w:t>
      </w:r>
      <w:r>
        <w:rPr>
          <w:i/>
          <w:iCs/>
        </w:rPr>
        <w:t xml:space="preserve"> </w:t>
      </w:r>
      <w:r>
        <w:rPr>
          <w:i/>
          <w:iCs/>
        </w:rPr>
        <w:t xml:space="preserve">Wolfram Institute’s Templeton-funded Computational Metaphysics programme) at its three substantive convergences — observer-relativity of law, pockets-of-reducibility mechanism, Wigner dissolution — and three specific divergences — ruliad-monism vs. kernel-pluralism, ruliad-as-object vs. process primacy, observer-relative slice vs. domain-intrinsic structure. Wolfram 2026 added to the reference list. No other changes.</w:t>
      </w:r>
    </w:p>
    <w:p>
      <w:pPr>
        <w:pStyle w:val="BodyText"/>
      </w:pPr>
      <w:r>
        <w:rPr>
          <w:i/>
          <w:iCs/>
        </w:rPr>
        <w:t xml:space="preserve">Working draft — concept stage. This paper proposes a foundational claim that requires engagement with philosophy of mathematics, foundations of physics, and formal epistemology before it can be advanced as settled. Arguments marked [REQUIRES FORMAL VALIDATION] need external expert engagement.</w:t>
      </w:r>
    </w:p>
    <w:bookmarkStart w:id="9" w:name="abstract"/>
    <w:p>
      <w:pPr>
        <w:pStyle w:val="Heading2"/>
      </w:pPr>
      <w:r>
        <w:t xml:space="preserve">Abstract</w:t>
      </w:r>
    </w:p>
    <w:p>
      <w:pPr>
        <w:pStyle w:val="FirstParagraph"/>
      </w:pPr>
      <w:r>
        <w:t xml:space="preserve">The three-paper series (Brink 2026a, 2026b, 2026c) establishes a hierarchy of instantiations of the distinction operation: Cantor’s set-theoretic primitive, Spencer-Brown’s formal derivation, physical symmetry breaking, computational irreducibility, formal incompleteness, domain kernels, and epistemic dependency. Each level inherits the irresolvable asymmetry the distinction operation introduces. Each level’s comma is the formal residue of that asymmetry at that scale. Paper 3 introduces Level 0 — the universe as unmarked state prior to any distinction — as a table entry in that hierarchy. This paper develops Level 0.</w:t>
      </w:r>
    </w:p>
    <w:p>
      <w:pPr>
        <w:pStyle w:val="BodyText"/>
      </w:pPr>
      <w:r>
        <w:t xml:space="preserve">The claim, stated precisely: mathematics does not describe the universe from outside. Mathematics is what appears at the boundary when any system powerful enough to draw distinctions within the universe attempts to enumerate the distinctions it has drawn. The</w:t>
      </w:r>
      <w:r>
        <w:t xml:space="preserve"> </w:t>
      </w:r>
      <w:r>
        <w:t xml:space="preserve">‘unreasonable effectiveness of mathematics in the natural sciences’</w:t>
      </w:r>
      <w:r>
        <w:t xml:space="preserve"> </w:t>
      </w:r>
      <w:r>
        <w:t xml:space="preserve">(Wigner 1960) is not unreasonable — it is structurally necessary. Mathematics is the most precise possible description of the gaps that systematic distinction-drawing produces. It is the comma’s formal geometry, not the field’s foundation.</w:t>
      </w:r>
    </w:p>
    <w:p>
      <w:pPr>
        <w:pStyle w:val="BodyText"/>
      </w:pPr>
      <w:r>
        <w:t xml:space="preserve">This paper makes a stronger ontological commitment than Papers 1–3. Papers 1–3 stand on established formal results — Cantor, Gödel, Turing, Rice, Cubitt — even where their own formalization is flagged as unvalidated. This paper stands on a prior ontological commitment: reality is continuous asymmetric process, and states are decoherence artifacts. That commitment is argued for in Section 2, grounded in Zurek’s einselection program, and flagged where it requires foundational physics engagement. But it is a commitment, not a derivation. Readers should calibrate accordingly.</w:t>
      </w:r>
    </w:p>
    <w:bookmarkEnd w:id="9"/>
    <w:bookmarkStart w:id="10" w:name="the-hypothesis"/>
    <w:p>
      <w:pPr>
        <w:pStyle w:val="Heading2"/>
      </w:pPr>
      <w:r>
        <w:t xml:space="preserve">1. The Hypothesis</w:t>
      </w:r>
    </w:p>
    <w:p>
      <w:pPr>
        <w:pStyle w:val="FirstParagraph"/>
      </w:pPr>
      <w:r>
        <w:t xml:space="preserve">Paper 3 introduces Level 0 as a bare table entry: the universe as unmarked state, continuous asymmetric process prior to any distinction, with the first decoherence event as the first mark. This paper develops that entry.</w:t>
      </w:r>
    </w:p>
    <w:p>
      <w:pPr>
        <w:pStyle w:val="BodyText"/>
      </w:pPr>
      <w:r>
        <w:t xml:space="preserve">The claim being developed: mathematics is the comma of the first distinction — the formal residue produced when the first distinction-drawing system attempts to enumerate what the first decoherence event stabilized. The universe is not made of mathematics. The universe generates mathematics wherever a sufficiently powerful distinction-drawing system tries to describe it. The effectiveness is not unreasonable. It is structurally necessary: the comma’s formal geometry is the same at every level of the distinction operation’s instantiation hierarchy, so the mathematics that appears at the Level 0 comma is the same mathematics that appears at every subsequent level. Mathematics works because it is the formal structure of the gap between process and description — and that gap has the same structure at every scale.</w:t>
      </w:r>
    </w:p>
    <w:p>
      <w:pPr>
        <w:pStyle w:val="BodyText"/>
      </w:pPr>
      <w:r>
        <w:t xml:space="preserve">This claim rests on a prior ontological commitment: reality is continuous asymmetric process, and states are decoherence artifacts. Section 2 develops this foundation. Section 3 connects it to the existing precedents. Section 4 develops the thermodynamic mechanism for why mathematics gravitates toward symmetry. Section 5 introduces the pre-formal sketch — the burn operator, the ε-regime, and the bankruptcy point — that a process-primary mathematics would need to express. Section 6 develops the challenge to the symmetry-breaking account that follows from process primacy. Section 7 connects the argument to Papers 1–3. Section 8 states the formal questions that must be answered before the argument can be advanced as settled. Section 9 clarifies what this paper is not arguing.</w:t>
      </w:r>
    </w:p>
    <w:bookmarkEnd w:id="10"/>
    <w:bookmarkStart w:id="16" w:name="Xa73ef3042b922dccf154ba101c90739988fec39"/>
    <w:p>
      <w:pPr>
        <w:pStyle w:val="Heading2"/>
      </w:pPr>
      <w:r>
        <w:t xml:space="preserve">2. Process Primacy: The Ontological Foundation</w:t>
      </w:r>
    </w:p>
    <w:bookmarkStart w:id="11" w:name="the-claim"/>
    <w:p>
      <w:pPr>
        <w:pStyle w:val="Heading3"/>
      </w:pPr>
      <w:r>
        <w:t xml:space="preserve">2.1 The claim</w:t>
      </w:r>
    </w:p>
    <w:p>
      <w:pPr>
        <w:pStyle w:val="FirstParagraph"/>
      </w:pPr>
      <w:r>
        <w:t xml:space="preserve">This paper adopts the following ontological commitment, which it argues for rather than assumes: reality is continuous asymmetric process. States are measurement artifacts — intersections between a process and an apparatus that samples it. The snapshot is produced by the interaction between process and apparatus, not revealed by it.</w:t>
      </w:r>
    </w:p>
    <w:p>
      <w:pPr>
        <w:pStyle w:val="BodyText"/>
      </w:pPr>
      <w:r>
        <w:t xml:space="preserve">This is not a philosophical preference. It follows from the thermodynamic structure of the universe. Entropy increase is directional and irreversible. A state-sequence implies reversibility in principle: you could run the sequence backward. You cannot. The directionality is ontological, not merely epistemic. The universe does not move through a sequence of states. It is a process whose directionality is absolute and whose asymmetry is original — not imposed by special initial conditions on a background of symmetric laws, but constitutive of the process itself.</w:t>
      </w:r>
    </w:p>
    <w:bookmarkEnd w:id="11"/>
    <w:bookmarkStart w:id="12" w:name="X130b0a1d2addd88716717131074447f658b28af"/>
    <w:p>
      <w:pPr>
        <w:pStyle w:val="Heading3"/>
      </w:pPr>
      <w:r>
        <w:t xml:space="preserve">2.2 The apparatus: decoherence, not observation</w:t>
      </w:r>
    </w:p>
    <w:p>
      <w:pPr>
        <w:pStyle w:val="FirstParagraph"/>
      </w:pPr>
      <w:r>
        <w:t xml:space="preserve">The process primacy claim requires a precise technical definition of apparatus before it can be advanced as more than philosophical assertion. The definition cannot be biological observer — placing consciousness at the foundation of physics is Copenhagen’s original sin and disqualifies the claim from serious physics engagement.</w:t>
      </w:r>
    </w:p>
    <w:p>
      <w:pPr>
        <w:pStyle w:val="BodyText"/>
      </w:pPr>
      <w:r>
        <w:t xml:space="preserve">The correct technical definition is the decoherence boundary in Wojciech Zurek’s sense. Zurek’s einselection program (Zurek 1981, 2003) shows that interaction with an environment selects preferred basis states — pointer states — that are stable under further environmental interaction. No biological observer is required. The apparatus is any physical system that entangles with the process and produces a stable classical record: a photon hitting an electron, a particle leaving a track in a bubble chamber, any interaction that generates irreversible environmental entanglement. The apparatus is not a thing — it is a scale. Below the decoherence scale: quantum superposition, no definite states, process without stable snapshots. Above it: pointer states, classical appearance, stable records.</w:t>
      </w:r>
    </w:p>
    <w:p>
      <w:pPr>
        <w:pStyle w:val="BodyText"/>
      </w:pPr>
      <w:r>
        <w:t xml:space="preserve">States emerge at the decoherence boundary as artifacts of environmental entanglement. They are not revealed by the apparatus — they are produced by the interaction between process and environment at the scale where that interaction becomes irreversible. This is the precise technical content of the claim that states are measurement artifacts: they are decoherence artifacts, stable configurations selected by environmental interaction at a specific scale, not features of the underlying process at any scale.</w:t>
      </w:r>
    </w:p>
    <w:p>
      <w:pPr>
        <w:pStyle w:val="BodyText"/>
      </w:pPr>
      <w:r>
        <w:t xml:space="preserve">One residual gap must be acknowledged. Decoherence resolves the preferred basis problem — it explains which states become classical. It does not resolve the single-outcome problem — it does not explain why one specific outcome obtains rather than a continued superposition of all outcomes. That residue is the measurement problem’s genuine unresolved core. The apparatus definition via decoherence is technically grounded but not complete. This paper does not claim it is complete.</w:t>
      </w:r>
    </w:p>
    <w:p>
      <w:pPr>
        <w:pStyle w:val="BodyText"/>
      </w:pPr>
      <w:r>
        <w:t xml:space="preserve">The single-outcome problem may be more than a gap in the decoherence account. It may be the physical instantiation of the Level 0 comma itself. The irresolvability of why this outcome rather than that one — from within the system that produced the measurement — is structurally identical to the comma at every other level: the resolver is inside the thing it is trying to resolve, generated by the same distinction whose consequences it is attempting to determine. If the single-outcome problem is the Level 0 comma, then it is not a problem awaiting a better theory. It is the irresolvability that is prior to all the others, because it is the irresolvability of the first distinction — the first decoherence event, the first mark. Every subsequent comma in the hierarchy is a downstream instantiation of this one. This is a proposed identification, not an established result. Whether the single-outcome problem is formally equivalent to the Level 0 comma — or merely structurally analogous to it — is a question for foundational physics and philosophy of physics engagement.</w:t>
      </w:r>
    </w:p>
    <w:bookmarkEnd w:id="12"/>
    <w:bookmarkStart w:id="13" w:name="consequences-for-formal-systems"/>
    <w:p>
      <w:pPr>
        <w:pStyle w:val="Heading3"/>
      </w:pPr>
      <w:r>
        <w:t xml:space="preserve">2.3 Consequences for formal systems</w:t>
      </w:r>
    </w:p>
    <w:p>
      <w:pPr>
        <w:pStyle w:val="FirstParagraph"/>
      </w:pPr>
      <w:r>
        <w:t xml:space="preserve">All formal systems operate on states because symbols require fixity. To write an equation about something, that something must have momentary identity stable enough to be named, manipulated, and referenced again. Formal description is therefore structurally obligated to operate above the decoherence boundary — it requires decoherence-stabilized objects as its primitives. The map cannot be the territory not merely because maps are simpler, but because maps require states and the territory at the process level does not have them.</w:t>
      </w:r>
    </w:p>
    <w:p>
      <w:pPr>
        <w:pStyle w:val="BodyText"/>
      </w:pPr>
      <w:r>
        <w:t xml:space="preserve">This is a precise restatement of the comma’s irresolvability at the formal level. The formal system produces states. The process it attempts to describe does not produce states — it produces the conditions under which decoherence stabilizes states at particular scales. The gap between formal description and underlying process is not located in the model’s content. It is a gap in ontological category between the describer, which operates above the decoherence boundary by necessity, and the described, which operates below it.</w:t>
      </w:r>
    </w:p>
    <w:p>
      <w:pPr>
        <w:pStyle w:val="BodyText"/>
      </w:pPr>
      <w:r>
        <w:t xml:space="preserve">Mathematics is the formal structure of descriptions valid at the decoherence scale. Its unreasonable effectiveness is not a mystery about the relationship between mind and world. It is a structural consequence: mathematics is the formal residue of the only scale at which stable description is possible, and physics is a description of the universe at various decoherence scales. The two connect not because mathematics was invented to describe physics but because both are constrained by the same decoherence boundary.</w:t>
      </w:r>
    </w:p>
    <w:bookmarkEnd w:id="13"/>
    <w:bookmarkStart w:id="14" w:name="prigogines-evidence"/>
    <w:p>
      <w:pPr>
        <w:pStyle w:val="Heading3"/>
      </w:pPr>
      <w:r>
        <w:t xml:space="preserve">2.4 Prigogine’s evidence</w:t>
      </w:r>
    </w:p>
    <w:p>
      <w:pPr>
        <w:pStyle w:val="FirstParagraph"/>
      </w:pPr>
      <w:r>
        <w:t xml:space="preserve">The formalization of process primacy has been seriously attempted. Ilya Prigogine’s work on dissipative structures — systems far from equilibrium that spontaneously generate local order by exporting entropy — established the thermodynamic framework rigorously enough to win the Nobel Prize in Chemistry in 1977. The mathematics of non-equilibrium thermodynamics, minimum entropy production, and bifurcation theory as applied to chemical and biological systems constitute real formal content, not speculation.</w:t>
      </w:r>
    </w:p>
    <w:p>
      <w:pPr>
        <w:pStyle w:val="BodyText"/>
      </w:pPr>
      <w:r>
        <w:t xml:space="preserve">Prigogine’s subsequent foundational program went further: he attempted to reconstruct the foundations of physics with irreversibility as the primitive rather than a derived property imposed by special initial conditions on time-symmetric laws. This program — developed with the Brussels-Austin school through operator formalism and pursued rigorously over decades — failed to achieve consensus formalization. The technical objections from critics were serious and were never fully answered.</w:t>
      </w:r>
    </w:p>
    <w:p>
      <w:pPr>
        <w:pStyle w:val="BodyText"/>
      </w:pPr>
      <w:r>
        <w:t xml:space="preserve">The reason the program stalled is precisely the structural condition this paper is identifying. To formalize process primacy you need mathematical objects that are themselves irreversible — that have directionality baked into the primitive rather than added by hand. Standard mathematics does not have those objects. Any formal description of irreversible process sits in a reversible formal space. The map is always reversible even when the territory is not. Prigogine could not escape the problem he was trying to solve because his tools were built from the thing he was trying to replace.</w:t>
      </w:r>
    </w:p>
    <w:p>
      <w:pPr>
        <w:pStyle w:val="BodyText"/>
      </w:pPr>
      <w:r>
        <w:t xml:space="preserve">This is not a cautionary tale about overreach. It is confirmation that the gap between process and formal description is real, structural, and resistant to closure by the most serious technical effort applied to it. The comma between process and state-based formalism is not an oversight in the existing literature. It has a history of failed closure attempts. That history is evidence for the claim this paper is making, not background to it.</w:t>
      </w:r>
    </w:p>
    <w:p>
      <w:pPr>
        <w:pStyle w:val="BodyText"/>
      </w:pPr>
      <w:r>
        <w:t xml:space="preserve">This paper does not attempt to build the missing mathematics. It uses the structural fact of the gap as theoretical content — making the irresolvability of the formalization part of the argument rather than a failure of it. The comma is irresolvable. Prigogine proved it by trying.</w:t>
      </w:r>
    </w:p>
    <w:bookmarkEnd w:id="14"/>
    <w:bookmarkStart w:id="15" w:name="sharpening-the-level-0-argument"/>
    <w:p>
      <w:pPr>
        <w:pStyle w:val="Heading3"/>
      </w:pPr>
      <w:r>
        <w:t xml:space="preserve">2.5 Sharpening the Level 0 argument</w:t>
      </w:r>
    </w:p>
    <w:p>
      <w:pPr>
        <w:pStyle w:val="FirstParagraph"/>
      </w:pPr>
      <w:r>
        <w:t xml:space="preserve">The Level 0 claim identifies the universe with Spencer-Brown’s unmarked state — the void prior to any distinction. The process-primacy claim sharpens this identification. The unmarked state is not a prior symmetric condition waiting to be disturbed. It is prior to the state/process distinction itself. There was no equilibrium to fall from. The asymmetric process is original.</w:t>
      </w:r>
    </w:p>
    <w:p>
      <w:pPr>
        <w:pStyle w:val="BodyText"/>
      </w:pPr>
      <w:r>
        <w:t xml:space="preserve">More precisely: the unmarked state is the condition prior to the first decoherence event — the process before any distinction-drawing system has entangled with it sufficiently to produce a stable classical record. Spencer-Brown’s instruction to</w:t>
      </w:r>
      <w:r>
        <w:t xml:space="preserve"> </w:t>
      </w:r>
      <w:r>
        <w:t xml:space="preserve">‘draw a distinction’</w:t>
      </w:r>
      <w:r>
        <w:t xml:space="preserve"> </w:t>
      </w:r>
      <w:r>
        <w:t xml:space="preserve">is, on this reading, the first decoherence event: the act that produces the first stable classical record, the first pointer state, the first marked side. Mathematics is what that act generates as its formal residue.</w:t>
      </w:r>
    </w:p>
    <w:p>
      <w:pPr>
        <w:pStyle w:val="BodyText"/>
      </w:pPr>
      <w:r>
        <w:t xml:space="preserve">This has a specific consequence for the Level 0 claim. If the universe is continuous asymmetric process, then mathematics does not describe a state of the universe. It describes the formal structure of what the distinction operation generates when it samples a process at the decoherence scale. Mathematics is the formal geometry of decoherence artifacts. This is a stronger and more precisely grounded claim than a purely structural articulation could provide.</w:t>
      </w:r>
    </w:p>
    <w:p>
      <w:pPr>
        <w:pStyle w:val="BodyText"/>
      </w:pPr>
      <w:r>
        <w:t xml:space="preserve">One additional acknowledgment is required. The Cantor application at Level 0 developed in this paper is the strongest instance of a move flagged across the four-paper series. Paper 1 (Brink 2026a, v11.3) § 2 explicitly marks the application of Cantor’s power set theorem to domain generative fields as a proposed extension rather than a direct application. Paper 2 (Brink 2026b, v8.2) § 2.3 applies the theorem to</w:t>
      </w:r>
      <w:r>
        <w:t xml:space="preserve"> </w:t>
      </w:r>
      <w:r>
        <w:t xml:space="preserve">“the set of all possible analytical frames”</w:t>
      </w:r>
      <w:r>
        <w:t xml:space="preserve"> </w:t>
      </w:r>
      <w:r>
        <w:t xml:space="preserve">for a knowledge-producing system. Paper 3 (Brink 2026c, v9.1) § 9 applies it to P(formation). This paper extends the move one step further — to the formal residue of the first distinction-drawing event. The caveat weakens across the series: by this paper the Cantor application is load-bearing at the paper’s most foundational level. The [REQUIRES FORMAL VALIDATION] flag in Brink 2026c (v9.1) § 9 remains in force for this paper and should be read as governing the cumulative application across all four papers. The framework uses the Cantor extension throughout; it does not treat the extension as formally proven; the formalization is a task for a mathematician or formal epistemologist and has not yet been completed.</w:t>
      </w:r>
    </w:p>
    <w:bookmarkEnd w:id="15"/>
    <w:bookmarkEnd w:id="16"/>
    <w:bookmarkStart w:id="22" w:name="the-precedents"/>
    <w:p>
      <w:pPr>
        <w:pStyle w:val="Heading2"/>
      </w:pPr>
      <w:r>
        <w:t xml:space="preserve">3. The Precedents</w:t>
      </w:r>
    </w:p>
    <w:bookmarkStart w:id="17" w:name="brouwers-intuitionism"/>
    <w:p>
      <w:pPr>
        <w:pStyle w:val="Heading3"/>
      </w:pPr>
      <w:r>
        <w:t xml:space="preserve">3.1 Brouwer’s intuitionism</w:t>
      </w:r>
    </w:p>
    <w:p>
      <w:pPr>
        <w:pStyle w:val="FirstParagraph"/>
      </w:pPr>
      <w:r>
        <w:t xml:space="preserve">L.E.J. Brouwer argued that mathematics is a constructive mental activity, not an external reality to be discovered. Mathematical objects exist only insofar as they are constructed by the mathematical mind. The integers are not</w:t>
      </w:r>
      <w:r>
        <w:t xml:space="preserve"> </w:t>
      </w:r>
      <w:r>
        <w:t xml:space="preserve">‘out there’</w:t>
      </w:r>
      <w:r>
        <w:t xml:space="preserve"> </w:t>
      </w:r>
      <w:r>
        <w:t xml:space="preserve">— they are the product of the mind’s capacity to perform the act of counting, which is itself the most primitive form of the distinction operation: this, then this, then this. Brouwer’s intuitionism is not a fringe position — it is a serious foundational program with a large technical literature. Its central insight is that mathematics is downstream of mind, not prior to it.</w:t>
      </w:r>
    </w:p>
    <w:p>
      <w:pPr>
        <w:pStyle w:val="BodyText"/>
      </w:pPr>
      <w:r>
        <w:t xml:space="preserve">The present hypothesis extends and regrounds this. Mathematics is downstream of the distinction operation itself, wherever that operation instantiates — not specifically downstream of human mind. Brouwer locates the generative activity in the mental act of counting. This paper locates it in the decoherence event: the physical act of distinction-drawing that produces stable classical records. Mind is one instantiation of that act. Any sufficiently complex decoherence-boundary interaction is another. The intuitionist insight — that mathematics is generated rather than discovered — is preserved and generalized.</w:t>
      </w:r>
    </w:p>
    <w:p>
      <w:pPr>
        <w:pStyle w:val="BodyText"/>
      </w:pPr>
      <w:r>
        <w:t xml:space="preserve">The question of whether the present hypothesis is consistent with, extends, or contradicts intuitionism’s technical program requires engagement with the foundations of mathematics literature. Specifically: Brouwer rejects classical logic, including the law of excluded middle, in favor of constructive proof. Whether the comma-as-mathematics hypothesis requires rejecting classical logic or is compatible with it is an open question this draft does not resolve.</w:t>
      </w:r>
    </w:p>
    <w:bookmarkEnd w:id="17"/>
    <w:bookmarkStart w:id="18" w:name="wigners-unreasonable-effectiveness"/>
    <w:p>
      <w:pPr>
        <w:pStyle w:val="Heading3"/>
      </w:pPr>
      <w:r>
        <w:t xml:space="preserve">3.2 Wigner’s unreasonable effectiveness</w:t>
      </w:r>
    </w:p>
    <w:p>
      <w:pPr>
        <w:pStyle w:val="FirstParagraph"/>
      </w:pPr>
      <w:r>
        <w:t xml:space="preserve">A prior observation from a working physicist positions the Wigner puzzle usefully. Richard Feynman, in</w:t>
      </w:r>
      <w:r>
        <w:t xml:space="preserve"> </w:t>
      </w:r>
      <w:r>
        <w:rPr>
          <w:i/>
          <w:iCs/>
        </w:rPr>
        <w:t xml:space="preserve">The Feynman Lectures on Physics</w:t>
      </w:r>
      <w:r>
        <w:t xml:space="preserve"> </w:t>
      </w:r>
      <w:r>
        <w:t xml:space="preserve">Volume I Chapter 22 (1963), describes the number-system ladder from the mathematician’s side in first-person prose. Mathematicians first had positive integers, then hit equations the integers could not solve and were forced to invent negatives. The negatives generated their own insoluble equations and forced the invention of rationals. The rationals forced irrationals through equations like x² = 2. The reals forced complex numbers through x² + 1 = 0. Feynman emphasizes two features of this sequence. First, the inventions are forced rather than chosen:</w:t>
      </w:r>
      <w:r>
        <w:t xml:space="preserve"> </w:t>
      </w:r>
      <w:r>
        <w:t xml:space="preserve">“strange new numbers are not arbitrary; they are forced by the structure of the problems mathematicians and physicists are trying to solve.”</w:t>
      </w:r>
      <w:r>
        <w:t xml:space="preserve"> </w:t>
      </w:r>
      <w:r>
        <w:t xml:space="preserve">Second, the inventions subsequently reappear as physically necessary. That complex numbers, invented to close a gap internal to polynomial algebra, turn out to be essential to quantum mechanics is, in Feynman’s framing,</w:t>
      </w:r>
      <w:r>
        <w:t xml:space="preserve"> </w:t>
      </w:r>
      <w:r>
        <w:t xml:space="preserve">“a striking example of how math and physics dance together.”</w:t>
      </w:r>
      <w:r>
        <w:t xml:space="preserve"> </w:t>
      </w:r>
      <w:r>
        <w:t xml:space="preserve">The formalism hits a wall; new numbers are invented to push through; nature turns out to be running on the inventions.</w:t>
      </w:r>
    </w:p>
    <w:p>
      <w:pPr>
        <w:pStyle w:val="BodyText"/>
      </w:pPr>
      <w:r>
        <w:t xml:space="preserve">Feynman’s framing is valuable because it is descriptive rather than philosophical. He is not arguing for Platonism, formalism, or any specific foundational position. He is reporting what physicists see when they follow mathematicians into unfamiliar objects and find physical phenomena waiting there. The observation is a datum. The question is what to do with it.</w:t>
      </w:r>
    </w:p>
    <w:p>
      <w:pPr>
        <w:pStyle w:val="BodyText"/>
      </w:pPr>
      <w:r>
        <w:t xml:space="preserve">The number-system ladder Feynman describes — ℕ → ℤ → ℚ → ℝ → ℂ → ℍ → 𝕆 — is developed with full formal apparatus as a Level-1 instantiation of the distinction operation in Brink 2026c (v9.1) § 5.2, where each rung is shown to satisfy the structural conditions of the generative floor (a kernel produces a comma irresolvable from within its own rules; the next rung is the minimal extension absorbing that comma; the ladder terminates at the octonions per Hurwitz 1898). What Feynman supplies at the present section is the bridge to Wigner: the same forced-invention dynamic that operates inside pure mathematics at the arithmetical level is what produces the mathematics that physics subsequently finds itself needing.</w:t>
      </w:r>
    </w:p>
    <w:p>
      <w:pPr>
        <w:pStyle w:val="BodyText"/>
      </w:pPr>
      <w:r>
        <w:t xml:space="preserve">Eugene Wigner’s 1960 essay gave the datum its canonical philosophical name: the unreasonable effectiveness of mathematics in the natural sciences. Why should structures invented to resolve internal formal commas — the polynomial equation x² + 1 = 0 has no real solution, therefore ℂ — turn out to describe physical reality, sometimes decades or centuries before the physical phenomenon requiring them is discovered? Wigner’s own answer was modest: the puzzle has no satisfactory resolution, and we should accept it as a gift we do not understand. The subsequent philosophy of mathematics has offered Platonist, formalist, empiricist, and pragmatic-selection responses, each of which accounts for part of the puzzle and leaves part residual.</w:t>
      </w:r>
    </w:p>
    <w:p>
      <w:pPr>
        <w:pStyle w:val="BodyText"/>
      </w:pPr>
      <w:r>
        <w:t xml:space="preserve">Wigner observed that mathematics developed for purely formal reasons — with no application in view — repeatedly turns out to describe physical reality with extraordinary precision. Complex numbers developed to solve polynomial equations turn out to describe quantum mechanics. Non-Euclidean geometry developed as a formal curiosity turns out to describe spacetime curvature. Wigner called this</w:t>
      </w:r>
      <w:r>
        <w:t xml:space="preserve"> </w:t>
      </w:r>
      <w:r>
        <w:t xml:space="preserve">‘unreasonable’</w:t>
      </w:r>
      <w:r>
        <w:t xml:space="preserve"> </w:t>
      </w:r>
      <w:r>
        <w:t xml:space="preserve">because there is no apparent reason why formal systems developed inside the mind should describe the external world so precisely.</w:t>
      </w:r>
    </w:p>
    <w:p>
      <w:pPr>
        <w:pStyle w:val="BodyText"/>
      </w:pPr>
      <w:r>
        <w:t xml:space="preserve">The Level-0 claim of this paper is an attempt to dissolve the residue of Wigner’s puzzle rather than account for it philosophically. If the distinction operation is genuinely primitive, and if the same distinction operation structures both formal syntax on the mathematical side and process-asymmetry on the physical side, then the correspondence between mathematical invention and physical necessity is not a coincidence but a tautology of identical origin. Complex numbers appearing in quantum amplitudes is not a surprise requiring explanation. Both the mathematical formalism and the wave function inherit the same Level-1 comma — the absence of a real square root of −1 — from the same underlying distinction-operation substrate, instantiated as formal syntax in one case and as physical phase in the other. The mathematician invents i; the physicist finds the wave function requires it; both are surface descriptions of the same structural fact about the generative floor.</w:t>
      </w:r>
    </w:p>
    <w:p>
      <w:pPr>
        <w:pStyle w:val="BodyText"/>
      </w:pPr>
      <w:r>
        <w:t xml:space="preserve">The present hypothesis dissolves the mystery in two steps. The structural step: mathematics is not inside the mind describing the outside world. Mathematics is the formal structure of the gaps that any distinction-drawing system generates when it encounters its own limits. The universe is not made of mathematics — the universe generates mathematics wherever a sufficiently powerful distinction-drawing system tries to describe it. The thermodynamic step, developed in Section 4: the specific mathematics that appears is thermodynamically selected — it is the mathematics that compresses the process interval most efficiently at the decoherence scale at which description is occurring. Different scales produce different optimal compressions, which is why the mathematics of quantum mechanics differs from the mathematics of classical mechanics even though both are downstream of the same distinction operation.</w:t>
      </w:r>
    </w:p>
    <w:p>
      <w:pPr>
        <w:pStyle w:val="BodyText"/>
      </w:pPr>
      <w:r>
        <w:t xml:space="preserve">The effectiveness is not merely necessary — it is doubly determined. Structurally necessary because the comma’s formal geometry is the same at every instantiation level. Thermodynamically selected because the mathematics that survives in use is the mathematics that achieves maximum compression of decoherence-stabilized descriptions. Both conditions must hold for Wigner’s observation to have the shape it has. This is the most speculative commitment this paper makes, and it is made without apology but also without pretense to theorem. It is a structural conjecture that, if correct, would explain Feynman’s observation without requiring Wigner’s puzzle. The weaker claim — that Feynman’s observation and Wigner’s puzzle are both real, that the alignment between formal invention and physical description deserves a structural answer rather than a philosophical stipulation, and that the distinction operation is the most economical candidate for such an answer — is the claim the rest of this paper defends directly and does not depend on the stronger conjecture for its force.</w:t>
      </w:r>
    </w:p>
    <w:bookmarkEnd w:id="18"/>
    <w:bookmarkStart w:id="19" w:name="cantors-power-set-theorem"/>
    <w:p>
      <w:pPr>
        <w:pStyle w:val="Heading3"/>
      </w:pPr>
      <w:r>
        <w:t xml:space="preserve">3.3 Cantor’s power set theorem</w:t>
      </w:r>
    </w:p>
    <w:p>
      <w:pPr>
        <w:pStyle w:val="FirstParagraph"/>
      </w:pPr>
      <w:r>
        <w:t xml:space="preserve">Cantor’s theorem establishes that for any set S, the power set P(S) is strictly larger than S. The space of all possible distinctions always exceeds the distinctions instantiated. Applied at Level 0: the universe generates, through any act of systematic distinction-drawing, a formal residue that is categorically larger than the distinctions drawn. That residue is mathematics. This is why mathematics is inexhaustible — not because it is infinite in some abstract sense, but because the power set of any formal system always exceeds the system, generating new mathematics from the attempt to enumerate what exists.</w:t>
      </w:r>
    </w:p>
    <w:p>
      <w:pPr>
        <w:pStyle w:val="BodyText"/>
      </w:pPr>
      <w:r>
        <w:t xml:space="preserve">Cantor’s result is the set-theoretic instantiation of the distinction operation’s irresolvability in its purest form. It is also the formal ground for why mathematics generated inside a decoherence-scale description always exceeds what that description can enumerate. The mathematician always has more to do — not because the universe is infinite but because P(description) &gt; description at every scale.</w:t>
      </w:r>
    </w:p>
    <w:bookmarkEnd w:id="19"/>
    <w:bookmarkStart w:id="20" w:name="the-renormalization-group-connection"/>
    <w:p>
      <w:pPr>
        <w:pStyle w:val="Heading3"/>
      </w:pPr>
      <w:r>
        <w:t xml:space="preserve">3.4 The renormalization group connection</w:t>
      </w:r>
    </w:p>
    <w:p>
      <w:pPr>
        <w:pStyle w:val="FirstParagraph"/>
      </w:pPr>
      <w:r>
        <w:t xml:space="preserve">Paper 3 proposes that the comma is a critical point in the renormalization group sense and that the five positions are universality classes. If this holds, mathematics is what universality classes look like from the inside — the formal structure that remains invariant across all substrates at the critical point. Mathematics is not the language physics is written in. Mathematics is what the comma looks like when a system is powerful enough to describe its own critical point formally.</w:t>
      </w:r>
    </w:p>
    <w:p>
      <w:pPr>
        <w:pStyle w:val="BodyText"/>
      </w:pPr>
      <w:r>
        <w:t xml:space="preserve">The decoherence framing sharpens this connection. The renormalization group tracks how physical descriptions change with measurement scale — how conservation laws run, how coupling constants vary, how effective theories emerge at each scale. Each RG scale is a decoherence scale: the scale at which a particular class of environmental entanglement stabilizes particular pointer states. Mathematics is what is invariant across those scales — the formal structure that the RG transformation preserves as scale varies. This connects the Level 0 claim to the cross-domain homology claim in Paper 3: the same mathematics appears across all domains not merely because the distinction operation is the same but because the decoherence boundary has the same formal structure at every scale at which description occurs.</w:t>
      </w:r>
    </w:p>
    <w:bookmarkEnd w:id="20"/>
    <w:bookmarkStart w:id="21" w:name="spencer-browns-unmarked-state"/>
    <w:p>
      <w:pPr>
        <w:pStyle w:val="Heading3"/>
      </w:pPr>
      <w:r>
        <w:t xml:space="preserve">3.5 Spencer-Brown’s unmarked state</w:t>
      </w:r>
    </w:p>
    <w:p>
      <w:pPr>
        <w:pStyle w:val="FirstParagraph"/>
      </w:pPr>
      <w:r>
        <w:rPr>
          <w:i/>
          <w:iCs/>
        </w:rPr>
        <w:t xml:space="preserve">Laws of Form</w:t>
      </w:r>
      <w:r>
        <w:t xml:space="preserve"> </w:t>
      </w:r>
      <w:r>
        <w:t xml:space="preserve">begins with the unmarked state — the void prior to any distinction. The mark of distinction produces marked and unmarked sides. Spencer-Brown’s re-entry — the distinction applied to the space it has itself created — generates self-reference and the level hierarchy. The present hypothesis identifies the universe with Spencer-Brown’s unmarked state: not nothing, but the everything prior to any distinction.</w:t>
      </w:r>
    </w:p>
    <w:p>
      <w:pPr>
        <w:pStyle w:val="BodyText"/>
      </w:pPr>
      <w:r>
        <w:t xml:space="preserve">The process-primacy grounding sharpens this identification. The unmarked state is not a static prior condition. It is continuous asymmetric process prior to the first decoherence event — prior to the first stable classical record. Spencer-Brown’s instruction to draw a distinction is, physically, the first decoherence event. The marked side is the first pointer state. The unmarked side is everything the decoherence event did not stabilize. Mathematics is what the re-entry produces when the distinction operation is applied at sufficient power to generate formal systems capable of describing their own decoherence boundary.</w:t>
      </w:r>
    </w:p>
    <w:bookmarkEnd w:id="21"/>
    <w:bookmarkEnd w:id="22"/>
    <w:bookmarkStart w:id="26" w:name="X5225d72209305487f6161d6b9a3fbcd414f834e"/>
    <w:p>
      <w:pPr>
        <w:pStyle w:val="Heading2"/>
      </w:pPr>
      <w:r>
        <w:t xml:space="preserve">4. Mathematics as Gap-Closing: The Thermodynamic Mechanism</w:t>
      </w:r>
    </w:p>
    <w:bookmarkStart w:id="23" w:name="Xcc27e03a00106b21d934949de75933bc11fcd58"/>
    <w:p>
      <w:pPr>
        <w:pStyle w:val="Heading3"/>
      </w:pPr>
      <w:r>
        <w:t xml:space="preserve">4.1 Why mathematics gravitates toward symmetry</w:t>
      </w:r>
    </w:p>
    <w:p>
      <w:pPr>
        <w:pStyle w:val="FirstParagraph"/>
      </w:pPr>
      <w:r>
        <w:t xml:space="preserve">The Wigner dissolution established above explains why mathematics connects to reality. It does not explain why mathematics has the specific shape it has — why it gravitates toward symmetry, closure, and completeness as ideals, and why the drive toward formal closure has the character it does.</w:t>
      </w:r>
    </w:p>
    <w:p>
      <w:pPr>
        <w:pStyle w:val="BodyText"/>
      </w:pPr>
      <w:r>
        <w:t xml:space="preserve">The thermodynamic account provides the mechanism. Symmetry is the state of minimum information at the decoherence scale. A symmetric description requires fewer bits than an asymmetric one: a circle is one equation, a jagged asymmetric curve requires far more. Mathematics gravitates toward symmetry because symmetry is maximum compression of a decoherence-stabilized description. The mathematician’s preference for elegance, closed-form solutions, and completeness is the formal system attempting to minimize the entropy of its own description — to return the sampled process to the simplest possible stable form at the decoherence scale.</w:t>
      </w:r>
    </w:p>
    <w:p>
      <w:pPr>
        <w:pStyle w:val="BodyText"/>
      </w:pPr>
      <w:r>
        <w:t xml:space="preserve">The drive toward formal closure — toward proofs, toward completeness, toward solved problems — is the state-based formal system attempting thermodynamic closure at the decoherence scale. It is the comma trying to close itself. The system is attempting to return to the equilibrium that the original distinction disrupted. It cannot. The process is irreversible. The asymmetry is original. The drive toward closure is structurally self-defeating — and Gödel’s incompleteness theorems are what happens when that drive is pursued with sufficient power: the system discovers that the equilibrium it seeks is structurally unattainable at any level of the instantiation hierarchy.</w:t>
      </w:r>
    </w:p>
    <w:bookmarkEnd w:id="23"/>
    <w:bookmarkStart w:id="24" w:name="Xa1c3b4589e9eb6e88c973ca97bebf898259c216"/>
    <w:p>
      <w:pPr>
        <w:pStyle w:val="Heading3"/>
      </w:pPr>
      <w:r>
        <w:t xml:space="preserve">4.2 The incompleteness theorems as thermodynamic limit</w:t>
      </w:r>
    </w:p>
    <w:p>
      <w:pPr>
        <w:pStyle w:val="FirstParagraph"/>
      </w:pPr>
      <w:r>
        <w:t xml:space="preserve">Gödel’s result is typically presented as a property of formal systems: any sufficiently powerful formal system contains true statements it cannot prove. On the thermodynamic account it is something more fundamental: it is the formal system discovering that the decoherence scale it operates at cannot close over the process level below it. The unprovable statements are the formal traces of the process that decoherence did not stabilize — the asymmetric residue that maximum-compression description cannot capture.</w:t>
      </w:r>
    </w:p>
    <w:p>
      <w:pPr>
        <w:pStyle w:val="BodyText"/>
      </w:pPr>
      <w:r>
        <w:t xml:space="preserve">This connects to Prigogine’s failure directly. Prigogine’s program attempted to build a formal system that could describe the process level — that could operate below the decoherence boundary. It failed because any formal system is by structural necessity above the decoherence boundary. The tools are made of decoherence-stabilized descriptions. The target is the process those descriptions are descriptions of. The gap between them is not a gap in the tools’ power. It is the same gap that Gödel formalized: the boundary is always larger than the field it bounds.</w:t>
      </w:r>
    </w:p>
    <w:bookmarkEnd w:id="24"/>
    <w:bookmarkStart w:id="25" w:name="the-wigner-dissolution-completed"/>
    <w:p>
      <w:pPr>
        <w:pStyle w:val="Heading3"/>
      </w:pPr>
      <w:r>
        <w:t xml:space="preserve">4.3 The Wigner dissolution, completed</w:t>
      </w:r>
    </w:p>
    <w:p>
      <w:pPr>
        <w:pStyle w:val="FirstParagraph"/>
      </w:pPr>
      <w:r>
        <w:t xml:space="preserve">The complete dissolution of Wigner’s puzzle has three components. First, structural: mathematics is the formal structure of the gaps that decoherence-stabilized distinction-drawing generates — not inside the mind describing an external world, but at the boundary where any description-capable system encounters its own limits. Second, thermodynamic: the specific mathematics that appears is selected for maximum compression of process intervals at the decoherence scale, which is why mathematics developed for purely formal reasons maps onto physics — both are optimizing for minimum description length of decoherence-stabilized process. Third, necessary: because the comma’s formal geometry is the same at every level of the distinction operation’s instantiation hierarchy, the mathematics that appears at Level 0 is the same mathematics that appears at every subsequent level. The three components together give Wigner’s observation the specific shape it has — not merely that mathematics is effective, but that it is effective with unreasonable precision across domains developed without reference to each other.</w:t>
      </w:r>
    </w:p>
    <w:bookmarkEnd w:id="25"/>
    <w:bookmarkEnd w:id="26"/>
    <w:bookmarkStart w:id="30" w:name="X96373c16893cbf0671f20f16d01fc7481edda41"/>
    <w:p>
      <w:pPr>
        <w:pStyle w:val="Heading2"/>
      </w:pPr>
      <w:r>
        <w:t xml:space="preserve">5. Pre-Formal Sketch: Burn Operator, ε-Regime, Bankruptcy Point</w:t>
      </w:r>
    </w:p>
    <w:bookmarkStart w:id="27" w:name="the-burn-operator-and-inference-rules"/>
    <w:p>
      <w:pPr>
        <w:pStyle w:val="Heading3"/>
      </w:pPr>
      <w:r>
        <w:t xml:space="preserve">5.1 The burn operator and inference rules</w:t>
      </w:r>
    </w:p>
    <w:p>
      <w:pPr>
        <w:pStyle w:val="FirstParagraph"/>
      </w:pPr>
      <w:r>
        <w:t xml:space="preserve">[HEURISTIC — the notation in this section is pre-formal. It is a pictorial sketch of what a process-primary mathematics would need to express, not a formal system. The symbols introduced here are not doing derivational work and should not be read as such. Specifically: the ⊬ operator below is used informally to mean</w:t>
      </w:r>
      <w:r>
        <w:t xml:space="preserve"> </w:t>
      </w:r>
      <w:r>
        <w:t xml:space="preserve">‘the reverse does not follow due to entropy cost’</w:t>
      </w:r>
      <w:r>
        <w:t xml:space="preserve"> </w:t>
      </w:r>
      <w:r>
        <w:t xml:space="preserve">— this is not its standard metalogical meaning (</w:t>
      </w:r>
      <w:r>
        <w:t xml:space="preserve">‘does not prove’</w:t>
      </w:r>
      <w:r>
        <w:t xml:space="preserve">) and any logician will read the standard meaning first. The κ quantity is introduced as a cardinality difference between sets that have not been formally defined as sets, and the identification of κ with thermodynamic entropy involves a dimensional mismatch (dimensionless vs J/K) that would require formal resolution before this sketch could become a system. The conceptual claims in Section 4 do the argumentative work. This section records the intuitions behind those claims in notation form, for development by someone with the formal machinery to do it properly.]</w:t>
      </w:r>
    </w:p>
    <w:p>
      <w:pPr>
        <w:pStyle w:val="BodyText"/>
      </w:pPr>
      <w:r>
        <w:t xml:space="preserve">The primitive relation in a process-primary mathematics would not be equality but directed asymmetric transition — informally, the burn operator. Where standard mathematics writes A = B (symmetric, reversible, entropy-free), the new primitive would write A ⇒ B to indicate that the transition consumed something irreversible. The reverse B ⇒ A does not follow — not because of logical non-implication but because the transition burned entropy that cannot be recovered. Equality would be a derived special case: the limit where the entropy cost of the transition is negligible relative to the precision of the description.</w:t>
      </w:r>
    </w:p>
    <w:p>
      <w:pPr>
        <w:pStyle w:val="BodyText"/>
      </w:pPr>
      <w:r>
        <w:t xml:space="preserve">The distinction operator ∂ applied to the unmarked state Ø would produce the first mark: ∂(Ø) = (M, Ū), where M is the marked side and Ū is the unmarked remainder. The asymmetry condition: the inverse ∂⁻¹(M, Ū) = ∅ — no operation recovers Ø from its decoherence artifacts. The comma κ would be the gap between what the process contained and what the distinction stabilized — informally, |Δ(Ø)| − |D(M ∪ Ū)|, where Δ(Ø) represents the distinctions the process generates and D(M ∪ Ū) represents the decoherence-stabilized descriptions. By the spirit of Cantor’s theorem, the gap is always positive.</w:t>
      </w:r>
    </w:p>
    <w:p>
      <w:pPr>
        <w:pStyle w:val="BodyText"/>
      </w:pPr>
      <w:r>
        <w:t xml:space="preserve">The self-referential condition κ(∂(κ)) &gt; 0 — the comma of the distinction applied to the comma is itself positive — is the intuition behind Gödel’s incompleteness in this notation. Any attempt to formally capture the comma generates a new comma. This is why Prigogine’s program failed and why it will always fail: the tools are made of M and Ū, the target is Ø, and the gap between them compounds on application.</w:t>
      </w:r>
    </w:p>
    <w:p>
      <w:pPr>
        <w:pStyle w:val="BodyText"/>
      </w:pPr>
      <w:r>
        <w:t xml:space="preserve">An inference rule in such a system would require decoherence-stabilization as a precondition: from A ⇒ B and D(A), infer D(B). We reason about pointer states — the survivors of environmental entanglement — not about process directly. Truth would be replaced by stability: a statement is inferentially available when it has survived decoherence at the relevant scale. Standard mathematical inference would be valid in the regime where the entropy cost of transitions is negligible — the κ→0 limit. The incompleteness boundary would be where that cost accumulates past the system’s tolerance, making conclusions unstable.</w:t>
      </w:r>
    </w:p>
    <w:p>
      <w:pPr>
        <w:pStyle w:val="BodyText"/>
      </w:pPr>
      <w:r>
        <w:t xml:space="preserve">These are the conceptual commitments. The formal system that would express them — with defined inference rules, composition laws, and a topology of process intervals — does not yet exist. This sketch records what it would need to say.</w:t>
      </w:r>
    </w:p>
    <w:bookmarkEnd w:id="27"/>
    <w:bookmarkStart w:id="28" w:name="X300aa5959447775a172b1c7cf5ec2d25edf7b2c"/>
    <w:p>
      <w:pPr>
        <w:pStyle w:val="Heading3"/>
      </w:pPr>
      <w:r>
        <w:t xml:space="preserve">5.2 Standard mathematics as the high-tolerance limit</w:t>
      </w:r>
    </w:p>
    <w:p>
      <w:pPr>
        <w:pStyle w:val="FirstParagraph"/>
      </w:pPr>
      <w:r>
        <w:t xml:space="preserve">The relationship between the new asymmetric system and standard mathematics is precisely analogous to the relationship between general relativity and Newtonian mechanics. Newton is not wrong — he is the low-gravity, low-velocity limit of a larger truth. Equality is not wrong — it is the κ→0 limit of the burn operator, valid when the entropy cost of the transition is negligible relative to the precision of the description.</w:t>
      </w:r>
    </w:p>
    <w:p>
      <w:pPr>
        <w:pStyle w:val="BodyText"/>
      </w:pPr>
      <w:r>
        <w:t xml:space="preserve">Formally: standard mathematics is the study of systems in the ε→∞ regime — the regime where κ is so small relative to the symbols that the asymmetric transition ⇒ is indistinguishable from the symmetric relation =. In this regime, comma debt is invisible, and the inference rules of classical logic are exact. The equation 2 + 2 = 4 is a process transition whose entropy cost is so vanishingly small relative to the symbols that treating it as reversible introduces no error at any scale of interest.</w:t>
      </w:r>
    </w:p>
    <w:p>
      <w:pPr>
        <w:pStyle w:val="BodyText"/>
      </w:pPr>
      <w:r>
        <w:t xml:space="preserve">The ε-regime breaks down at the boundaries of formal systems — precisely where Gödel, Turing, and Cantor identified the incompleteness conditions. As derivations approach the Gödel boundary, κ_total accumulates to the point where the κ→0 approximation fails: the comma debt of the derivation is no longer negligible, and the approximation of ⇒ as = breaks down. The undecidable statement is not a statement for which the truth value is unknown — it is a statement whose derivation has accumulated enough κ that the conclusion cannot be stabilized into a pointer state accessible within the system. Undecidability is high-κ instability.</w:t>
      </w:r>
    </w:p>
    <w:p>
      <w:pPr>
        <w:pStyle w:val="BodyText"/>
      </w:pPr>
      <w:r>
        <w:t xml:space="preserve">This framing has a specific consequence for the domain kernels. Each domain kernel operates within an ε-regime — a range of stability within which the domain’s formal vocabulary functions reliably. The comma is the boundary of that regime: the point where κ_total accumulates past the domain’s tolerance threshold and the description can no longer be sustained. The five structural positions are strategies for managing κ within and at the boundary of the ε-regime. Infrastructure operates deep within the regime where κ is background noise. Exploitation operates at the boundary where κ becomes usable tension. Commitment follows the derivation chain until κ_total approaches the tolerance threshold. Refusal operates on ¬M — inverting the mark — which is a strategy for redistributing κ rather than eliminating it.</w:t>
      </w:r>
    </w:p>
    <w:bookmarkEnd w:id="28"/>
    <w:bookmarkStart w:id="29" w:name="the-bankruptcy-point"/>
    <w:p>
      <w:pPr>
        <w:pStyle w:val="Heading3"/>
      </w:pPr>
      <w:r>
        <w:t xml:space="preserve">5.3 The bankruptcy point</w:t>
      </w:r>
    </w:p>
    <w:p>
      <w:pPr>
        <w:pStyle w:val="FirstParagraph"/>
      </w:pPr>
      <w:r>
        <w:t xml:space="preserve">A threshold question follows. If κ_total accumulates without bound in a derivation chain, is there a point where the description dissolves back into process — where D(P) → ∅ and the stabilized description ceases to be available for inference?</w:t>
      </w:r>
    </w:p>
    <w:p>
      <w:pPr>
        <w:pStyle w:val="BodyText"/>
      </w:pPr>
      <w:r>
        <w:t xml:space="preserve">The answer is yes, and this threshold — the bankruptcy point — appears at every instantiation level of the distinction operation’s hierarchy. In physics: the singularity, where the descriptive apparatus of general relativity breaks down completely and the equations return undefined values. The singularity is not a physical object — it is the point where κ_total exceeds the tolerance of the description, and process reasserts itself beyond the reach of any decoherence-stabilized account. In formal systems: the Gödel sentence is the bankruptcy point of sufficiently powerful arithmetic — the point where the derivation’s κ_total makes the conclusion undecidable from within the system’s own ε-regime. In music: the point Schoenberg reached — where the tonal system had accumulated enough κ through chromatic extension that it could no longer sustain coherent description, forcing either Refusal or dissolution into noise. In each case: the bankruptcy point is not failure of the domain. It is the comma asserting itself at full scale — the point where the gap between description and process can no longer be managed within the domain’s ε-regime.</w:t>
      </w:r>
    </w:p>
    <w:p>
      <w:pPr>
        <w:pStyle w:val="BodyText"/>
      </w:pPr>
      <w:r>
        <w:t xml:space="preserve">The bankruptcy point is the formal condition for Commitment’s terminal state and for Refusal’s generative condition. Commitment follows the derivation chain toward bankruptcy deliberately — extending the domain’s logic until the ε-regime can no longer contain it. Refusal anticipates bankruptcy by inverting the mark before the threshold is reached — operating on ¬M as a strategy for redistributing κ rather than accumulating it to the breaking point. Both positions are responses to the same thermodynamic condition: κ_total approaching the tolerance threshold of the description.</w:t>
      </w:r>
    </w:p>
    <w:bookmarkEnd w:id="29"/>
    <w:bookmarkEnd w:id="30"/>
    <w:bookmarkStart w:id="35" w:name="X86b5fccfa21b79a399be9e637778e74df83ab3b"/>
    <w:p>
      <w:pPr>
        <w:pStyle w:val="Heading2"/>
      </w:pPr>
      <w:r>
        <w:t xml:space="preserve">6. Asymmetry Without Origin: A Challenge to the Symmetry-Breaking Account</w:t>
      </w:r>
    </w:p>
    <w:bookmarkStart w:id="31" w:name="the-challenge"/>
    <w:p>
      <w:pPr>
        <w:pStyle w:val="Heading3"/>
      </w:pPr>
      <w:r>
        <w:t xml:space="preserve">6.1 The challenge</w:t>
      </w:r>
    </w:p>
    <w:p>
      <w:pPr>
        <w:pStyle w:val="FirstParagraph"/>
      </w:pPr>
      <w:r>
        <w:t xml:space="preserve">The standard account of the universe’s structure requires a prior high-symmetry state that undergoes spontaneous symmetry breaking. Paper 3 Section 6 follows this account: the early universe was symmetric; cooling phase transitions broke that symmetry; every structure we observe is a consequence of those breakings.</w:t>
      </w:r>
    </w:p>
    <w:p>
      <w:pPr>
        <w:pStyle w:val="BodyText"/>
      </w:pPr>
      <w:r>
        <w:t xml:space="preserve">The process-primacy claim generates a direct challenge. If states are decoherence artifacts, the</w:t>
      </w:r>
      <w:r>
        <w:t xml:space="preserve"> </w:t>
      </w:r>
      <w:r>
        <w:t xml:space="preserve">‘high-symmetry state’</w:t>
      </w:r>
      <w:r>
        <w:t xml:space="preserve"> </w:t>
      </w:r>
      <w:r>
        <w:t xml:space="preserve">of the early universe is a retroactive projection — the description that appears when we sample the early universe’s process at the relevant energy scale and impose the minimum-description prior consistent with the data. The simplest prior is not the same as the actual prior. We model the early universe as high-symmetry because uniform is the minimum-description starting condition at that scale. That is a property of our descriptions, not of the universe.</w:t>
      </w:r>
    </w:p>
    <w:p>
      <w:pPr>
        <w:pStyle w:val="BodyText"/>
      </w:pPr>
      <w:r>
        <w:t xml:space="preserve">There was never a symmetry to break. The asymmetric process was original. What the symmetry-breaking account describes is how continuous asymmetric process appears when sampled at different energy scales by decoherence-boundary apparatuses. The breaking is in the sampling, not in the process.</w:t>
      </w:r>
    </w:p>
    <w:bookmarkEnd w:id="31"/>
    <w:bookmarkStart w:id="32" w:name="what-survives"/>
    <w:p>
      <w:pPr>
        <w:pStyle w:val="Heading3"/>
      </w:pPr>
      <w:r>
        <w:t xml:space="preserve">6.2 What survives</w:t>
      </w:r>
    </w:p>
    <w:p>
      <w:pPr>
        <w:pStyle w:val="FirstParagraph"/>
      </w:pPr>
      <w:r>
        <w:t xml:space="preserve">This challenge does not demolish the Paper 3 Section 6 argument. The formal machinery survives intact. Noether’s theorem establishes the relationship between symmetry and conserved quantities regardless of whether symmetry is ontologically primary or a decoherence-scale artifact. The local/global management framing — what was globally available becomes locally managed after the distinction is drawn — is equally valid whether or not a prior symmetric state actually existed.</w:t>
      </w:r>
    </w:p>
    <w:p>
      <w:pPr>
        <w:pStyle w:val="BodyText"/>
      </w:pPr>
      <w:r>
        <w:t xml:space="preserve">What the reframing changes is the ontological interpretation of conservation laws. Noether’s theorem, on the process-primacy account, describes what is invariant at the decoherence scale — what the apparatus preserves across interactions. Conservation laws are decoherence-scale invariants, not features of the underlying process. Different decoherence scales produce different effective conservation laws, which is precisely what the renormalization group tracks as running coupling constants. The RG is already the formal description of how conservation law parameters vary with measurement scale. The process-primacy account provides the ontological ground for why that variation exists.</w:t>
      </w:r>
    </w:p>
    <w:bookmarkEnd w:id="32"/>
    <w:bookmarkStart w:id="33" w:name="supporting-evidence"/>
    <w:p>
      <w:pPr>
        <w:pStyle w:val="Heading3"/>
      </w:pPr>
      <w:r>
        <w:t xml:space="preserve">6.3 Supporting evidence</w:t>
      </w:r>
    </w:p>
    <w:p>
      <w:pPr>
        <w:pStyle w:val="FirstParagraph"/>
      </w:pPr>
      <w:r>
        <w:t xml:space="preserve">Three existing physics considerations bear on this reframe: the observed CP asymmetry, Penrose’s Weyl curvature hypothesis, and the Higgs mechanism.</w:t>
      </w:r>
    </w:p>
    <w:p>
      <w:pPr>
        <w:pStyle w:val="BodyText"/>
      </w:pPr>
      <w:r>
        <w:t xml:space="preserve">CP violation — the observed asymmetry between matter and antimatter — is worth noting here. Most physicists read CP violation as asymmetry within a CPT-symmetric framework rather than as evidence against the symmetry-breaking picture tout court. The present argument does not require CP violation to overturn CPT symmetry. It requires only that the laws as we describe them contain asymmetries that complicate the narrative of a perfectly symmetric prior state. CP violation is one such complication — it introduces asymmetry at the level of the laws themselves at certain scales, which at minimum makes the original high-symmetry state harder to characterize than the standard account suggests.</w:t>
      </w:r>
    </w:p>
    <w:p>
      <w:pPr>
        <w:pStyle w:val="BodyText"/>
      </w:pPr>
      <w:r>
        <w:t xml:space="preserve">Penrose’s Weyl curvature hypothesis is the most relevant formal precedent: Penrose argues that the universe’s low-entropy initial condition is a boundary condition on the Weyl curvature tensor rather than a consequence of a prior symmetric state. This is structurally consistent with the process-primacy account — the asymmetry is original, expressed as a specific geometric boundary condition rather than emerging from a breaking event. The Weyl curvature hypothesis provides a formal entry point for engaging foundational cosmologists with this reframe.</w:t>
      </w:r>
    </w:p>
    <w:p>
      <w:pPr>
        <w:pStyle w:val="BodyText"/>
      </w:pPr>
      <w:r>
        <w:t xml:space="preserve">The Higgs mechanism requires direct engagement. The Higgs field’s non-zero vacuum expectation value generates real, measurable, invariant particle masses. If the high-symmetry prior is a modeling artifact, how does a modeling artifact generate real physical mass? The answer is that the reframe does not dissolve the Higgs mechanism. The vacuum expectation value is real. The mass is real. What is being questioned is whether the zero-expectation-value state that precedes the breaking was a genuine ontological state or the minimum-description approximation of a process already asymmetric at a level the measurement apparatus at that energy scale could not resolve. Mass is a consequence of the Higgs field having a specific non-zero vacuum configuration — a specific feature of an asymmetric process — not a consequence of a prior symmetric state being disrupted. A precise phrasing note is required: this argument is not claiming that the vacuum has a hidden classical structure that the measurement apparatus lacks resolution to detect. That reading would be a hidden-variables claim and is not intended. The claim is ontological: the process was asymmetric at the level below the decoherence boundary; the zero-expectation-value description was a decoherence-scale artifact of how that process appeared at that energy scale, not a description of what the process was below that scale. The vacuum is not hiding a classical truth. It is a process that no decoherence-scale description can fully capture.</w:t>
      </w:r>
    </w:p>
    <w:p>
      <w:pPr>
        <w:pStyle w:val="BodyText"/>
      </w:pPr>
      <w:r>
        <w:t xml:space="preserve">An explanatory debt must be acknowledged here. The standard account of the Higgs mechanism uses the symmetric prior as part of the derivation of the vacuum expectation value’s specific magnitude: the VEV is derived, in the standard treatment, from the parameters of the Higgs potential, which is itself formulated against a symmetric background. The process-primacy reframe preserves the Higgs mechanism’s consequences but does not currently re-derive the VEV’s magnitude from within its own ontological framework. This is an explanatory thinning, not a contradiction: the reframe is consistent with the empirical facts about particle masses but has not yet provided its own derivation of why the VEV has the magnitude it has. The standard account derives the magnitude from properties of the potential; the process-primacy account relocates rather than re-derives. Whether a derivation from within the process-primacy framework is available — whether the VEV’s magnitude can be derived from properties of the decoherence-scale appearance of a fundamentally asymmetric process — is an open question that requires engagement with foundational quantum field theory. The reframe currently owes this derivation; paying the debt is a task the reframe has not yet completed.</w:t>
      </w:r>
    </w:p>
    <w:bookmarkEnd w:id="33"/>
    <w:bookmarkStart w:id="34" w:name="X2849f578d334b4998fdc7ba3c0eed05d3455d13"/>
    <w:p>
      <w:pPr>
        <w:pStyle w:val="Heading3"/>
      </w:pPr>
      <w:r>
        <w:t xml:space="preserve">6.4 Ontological asymmetry and computational undecidability</w:t>
      </w:r>
    </w:p>
    <w:p>
      <w:pPr>
        <w:pStyle w:val="FirstParagraph"/>
      </w:pPr>
      <w:r>
        <w:t xml:space="preserve">The framework makes two distinct claims that require explicit separation. Computational undecidability is an epistemic claim: from within the system, the answer to a given question cannot be determined by any algorithm. Ontological asymmetry is a different and logically independent claim: the gap exists, the asymmetry is real, regardless of whether any system within it can determine that it is there.</w:t>
      </w:r>
    </w:p>
    <w:p>
      <w:pPr>
        <w:pStyle w:val="BodyText"/>
      </w:pPr>
      <w:r>
        <w:t xml:space="preserve">Both claims are required. The comma is ontological — the gap is structurally present whether or not any system inside it can see outside it. Undecidability is the epistemic shadow of that ontological fact: it is what the gap looks like from inside the system that the gap itself encloses. A physicist could in principle grant undecidability while denying ontological asymmetry — arguing that the gap is merely a feature of our computational limitations rather than of physical structure. That position is available, but it requires accepting that a gap epistemically irresolvable from within the system has no physical correlate, which is inconsistent with the spectral gap result: the spectral gap is a physical property of a quantum lattice system, not merely a fact about computations. The undecidability of the spectral gap is undecidability of a physical property. The ontological and epistemic claims converge here because the system that would need to resolve the gap is produced by the same distinction that generates the gap. This convergence is the framework’s claim. It is not assumed. It requires formal demonstration, and that demonstration is part of what the validation flags are tracking.</w:t>
      </w:r>
    </w:p>
    <w:p>
      <w:pPr>
        <w:pStyle w:val="BodyText"/>
      </w:pPr>
      <w:r>
        <w:t xml:space="preserve">[REQUIRES FOUNDATIONAL ENGAGEMENT — the claim that the pre-inflationary universe was never genuinely symmetric, and that the high-symmetry state is a decoherence-scale modeling artifact rather than an actual prior condition, is a foundational challenge to the standard cosmological account. Whether the Higgs field’s vacuum structure is consistent with having been asymmetric prior to what we describe as the breaking — whether the zero-expectation-value description is scale-dependent or constitutes a genuine ontological prior — requires engagement with a physicist working on foundational quantum field theory. These are proposed reframes, not established results.]</w:t>
      </w:r>
    </w:p>
    <w:bookmarkEnd w:id="34"/>
    <w:bookmarkEnd w:id="35"/>
    <w:bookmarkStart w:id="36" w:name="connection-to-papers-13"/>
    <w:p>
      <w:pPr>
        <w:pStyle w:val="Heading2"/>
      </w:pPr>
      <w:r>
        <w:t xml:space="preserve">7. Connection to Papers 1–3</w:t>
      </w:r>
    </w:p>
    <w:p>
      <w:pPr>
        <w:pStyle w:val="FirstParagraph"/>
      </w:pPr>
      <w:r>
        <w:t xml:space="preserve">Paper 1 (Brink 2026a, v11.3) derives five universal structural positions from domain kernels. The derivation uses predicate logic and formal set-theoretic notation. If the present hypothesis holds, this notation is not the foundation the derivation rests on — it is the formal residue of the distinction operation at the level of the paper’s own analytical apparatus. The paper is itself an instance of Level 0: a distinction-drawing system generating mathematics as the comma of its own generative activity. The five positions are not merely derived in mathematics — they are mathematical objects because they are commas, and commas at every level take mathematical form. Paper 1’s treatment of the five positions is Lakatos-progressive in character (v11.3 § 3.3), a characterization that carries forward to the present paper’s reflexive move: the hard core (kernel/comma topology) is preserved through refinements to the protective belt rather than abandoned on individual anomalies. One specific open issue carries forward: the Commitment position’s ontological footing, flagged at v11.3 § 3.4 as potentially corpus-level rather than work-level, is a structural issue that no subsequent paper in the series resolves.</w:t>
      </w:r>
    </w:p>
    <w:p>
      <w:pPr>
        <w:pStyle w:val="BodyText"/>
      </w:pPr>
      <w:r>
        <w:t xml:space="preserve">Paper 2 (Brink 2026b, v8.2) establishes that epistemic dependency is structurally equivalent to the comma. The correction mechanism is the means of reaching into P(formation) from outside the system’s own generative range. If mathematics is the Level 0 comma, then the correction mechanism for any knowledge-producing system is ultimately the reach toward the mathematical structure its own distinctions generate but cannot enumerate from within. The epistemic dependency is a decoherence-scale phenomenon: the knowledge-producing system operates above its own decoherence boundary and cannot access the process level its descriptions are descriptions of.</w:t>
      </w:r>
    </w:p>
    <w:p>
      <w:pPr>
        <w:pStyle w:val="BodyText"/>
      </w:pPr>
      <w:r>
        <w:t xml:space="preserve">Paper 3 (Brink 2026c, v9.1) proposes that the distinction operation propagates through seven levels of instantiation, with Level 0 noted as developed in this paper. The Russell-vs-Gödel distinction developed in Brink 2026c (v9.1) § 4 applies throughout the present paper: the commas at every level are Gödel-type productive incompleteness, absorbed into the subsequent level’s structure without forcing formal system revision. The G∧R∧C↔D1–D3 mapping, downgraded to structural analogy in Brink 2026c (v9.1) § 7, carries that analogy status into the present paper’s use of the endofunctor formulation. The D4 subcategory note — that the FalseWork comma is a proper subcategory of Lawvere’s (Id ↓ D) rather than identical with it — from Brink 2026c (v9.1) § 3 applies to any use of the comma-category terminology in the present paper’s Section 8.1 formal questions.</w:t>
      </w:r>
    </w:p>
    <w:p>
      <w:pPr>
        <w:pStyle w:val="BodyText"/>
      </w:pPr>
      <w:r>
        <w:t xml:space="preserve">The hierarchy as developed across the four papers is:</w:t>
      </w:r>
    </w:p>
    <w:p>
      <w:pPr>
        <w:pStyle w:val="Compact"/>
        <w:numPr>
          <w:ilvl w:val="0"/>
          <w:numId w:val="1001"/>
        </w:numPr>
      </w:pPr>
      <w:r>
        <w:rPr>
          <w:b/>
          <w:bCs/>
        </w:rPr>
        <w:t xml:space="preserve">Level 0</w:t>
      </w:r>
      <w:r>
        <w:t xml:space="preserve"> </w:t>
      </w:r>
      <w:r>
        <w:t xml:space="preserve">(this paper): universe as continuous asymmetric process prior to any distinction, with the first decoherence event as the first mark and mathematics as the formal residue of that first mark.</w:t>
      </w:r>
    </w:p>
    <w:p>
      <w:pPr>
        <w:pStyle w:val="Compact"/>
        <w:numPr>
          <w:ilvl w:val="0"/>
          <w:numId w:val="1001"/>
        </w:numPr>
      </w:pPr>
      <w:r>
        <w:rPr>
          <w:b/>
          <w:bCs/>
        </w:rPr>
        <w:t xml:space="preserve">Level 1</w:t>
      </w:r>
      <w:r>
        <w:t xml:space="preserve"> </w:t>
      </w:r>
      <w:r>
        <w:t xml:space="preserve">(Brink 2026c, v9.1, Section 5): Cantor’s set-theoretic root — P(S) &gt; S — and the concrete arithmetical ladder ℕ → ℤ → ℚ → ℝ → ℂ → ℍ → 𝕆 as its forced-extension instantiation.</w:t>
      </w:r>
    </w:p>
    <w:p>
      <w:pPr>
        <w:pStyle w:val="Compact"/>
        <w:numPr>
          <w:ilvl w:val="0"/>
          <w:numId w:val="1001"/>
        </w:numPr>
      </w:pPr>
      <w:r>
        <w:rPr>
          <w:b/>
          <w:bCs/>
        </w:rPr>
        <w:t xml:space="preserve">Level 2</w:t>
      </w:r>
      <w:r>
        <w:t xml:space="preserve"> </w:t>
      </w:r>
      <w:r>
        <w:t xml:space="preserve">(Brink 2026c, v9.1, Section 2): Spencer-Brown’s formal derivation.</w:t>
      </w:r>
    </w:p>
    <w:p>
      <w:pPr>
        <w:pStyle w:val="Compact"/>
        <w:numPr>
          <w:ilvl w:val="0"/>
          <w:numId w:val="1001"/>
        </w:numPr>
      </w:pPr>
      <w:r>
        <w:rPr>
          <w:b/>
          <w:bCs/>
        </w:rPr>
        <w:t xml:space="preserve">Level 3</w:t>
      </w:r>
      <w:r>
        <w:t xml:space="preserve"> </w:t>
      </w:r>
      <w:r>
        <w:t xml:space="preserve">(Brink 2026c, v9.1, Section 6): physical symmetry breaking, reframed in this paper as decoherence-scale description of asymmetric process.</w:t>
      </w:r>
    </w:p>
    <w:p>
      <w:pPr>
        <w:pStyle w:val="Compact"/>
        <w:numPr>
          <w:ilvl w:val="0"/>
          <w:numId w:val="1001"/>
        </w:numPr>
      </w:pPr>
      <w:r>
        <w:rPr>
          <w:b/>
          <w:bCs/>
        </w:rPr>
        <w:t xml:space="preserve">Level 4</w:t>
      </w:r>
      <w:r>
        <w:t xml:space="preserve"> </w:t>
      </w:r>
      <w:r>
        <w:t xml:space="preserve">(Brink 2026c, v9.1, Section 7): computational irreducibility; Turing; Rice.</w:t>
      </w:r>
    </w:p>
    <w:p>
      <w:pPr>
        <w:pStyle w:val="Compact"/>
        <w:numPr>
          <w:ilvl w:val="0"/>
          <w:numId w:val="1001"/>
        </w:numPr>
      </w:pPr>
      <w:r>
        <w:rPr>
          <w:b/>
          <w:bCs/>
        </w:rPr>
        <w:t xml:space="preserve">Level 5</w:t>
      </w:r>
      <w:r>
        <w:t xml:space="preserve"> </w:t>
      </w:r>
      <w:r>
        <w:t xml:space="preserve">(Brink 2026c, v9.1, Section 7): formal incompleteness; Gödel.</w:t>
      </w:r>
    </w:p>
    <w:p>
      <w:pPr>
        <w:pStyle w:val="Compact"/>
        <w:numPr>
          <w:ilvl w:val="0"/>
          <w:numId w:val="1001"/>
        </w:numPr>
      </w:pPr>
      <w:r>
        <w:rPr>
          <w:b/>
          <w:bCs/>
        </w:rPr>
        <w:t xml:space="preserve">Level 6</w:t>
      </w:r>
      <w:r>
        <w:t xml:space="preserve"> </w:t>
      </w:r>
      <w:r>
        <w:t xml:space="preserve">(Brink 2026c, v9.1, Section 8): the six domain kernels.</w:t>
      </w:r>
    </w:p>
    <w:p>
      <w:pPr>
        <w:pStyle w:val="Compact"/>
        <w:numPr>
          <w:ilvl w:val="0"/>
          <w:numId w:val="1001"/>
        </w:numPr>
      </w:pPr>
      <w:r>
        <w:rPr>
          <w:b/>
          <w:bCs/>
        </w:rPr>
        <w:t xml:space="preserve">Level 7</w:t>
      </w:r>
      <w:r>
        <w:t xml:space="preserve"> </w:t>
      </w:r>
      <w:r>
        <w:t xml:space="preserve">(Brink 2026b, v8.2; Brink 2026c, v9.1, Section 9): epistemic dependency.</w:t>
      </w:r>
    </w:p>
    <w:p>
      <w:pPr>
        <w:pStyle w:val="FirstParagraph"/>
      </w:pPr>
      <w:r>
        <w:t xml:space="preserve">A concrete case study of the Level 0 / Level 1 relationship is developed in the companion paper Brink 2026e. Brink 2026e presents the Pythagorean comma and the irrationality of √2 as rank-2 and rank-1 instances of the same Diophantine phenomenon — unified at the qualitative level by the fundamental theorem of arithmetic (the Level 1 formal ground) and, at the rank-≥2 quantitative level, by Baker’s theorem (1966) on linear forms in logarithms of algebraic numbers. The Wigner dissolution developed above (Sections 3.2, 4.3) finds its cleanest concrete instantiation there: the specific mathematics that appears at the decoherence scale when a distinction-drawing system engages multiplicative structure is Diophantine, and the irresolvability of the Pythagorean comma and of √2’s rationalization is the formal shape the distinction operation’s comma takes at that level. The Pythagorean case grounds the Wigner dissolution in a concrete formal example rather than leaving it only abstract.</w:t>
      </w:r>
    </w:p>
    <w:p>
      <w:pPr>
        <w:pStyle w:val="BodyText"/>
      </w:pPr>
      <w:r>
        <w:t xml:space="preserve">Each level inherits the irresolvable asymmetry of the distinction operation. Each level’s comma is the formal residue at that scale. Mathematics appears at every level because the formal structure of the comma has the same shape at every level — but the mathematics</w:t>
      </w:r>
      <w:r>
        <w:t xml:space="preserve"> </w:t>
      </w:r>
      <w:r>
        <w:rPr>
          <w:i/>
          <w:iCs/>
        </w:rPr>
        <w:t xml:space="preserve">as such</w:t>
      </w:r>
      <w:r>
        <w:t xml:space="preserve"> </w:t>
      </w:r>
      <w:r>
        <w:t xml:space="preserve">is the specific Level 0 residue, the formal structure of what the first distinction stabilized. The process-primacy account provides the physical ground for why this hierarchy has the structure it has: each level is a different decoherence scale, and the mathematics that appears at each scale is the formal residue of that scale’s decoherence boundary.</w:t>
      </w:r>
    </w:p>
    <w:p>
      <w:pPr>
        <w:pStyle w:val="BodyText"/>
      </w:pPr>
      <w:r>
        <w:t xml:space="preserve">This paper is itself an instance of Level 0: a distinction-drawing system generating mathematics as the comma of its own generative activity. The reflexive move is the paper’s strongest epistemological commitment. The paper uses mathematics to argue that mathematics is the formal residue of what distinction-drawing stabilizes. If the argument holds, it applies to itself — the paper is part of what it describes.</w:t>
      </w:r>
    </w:p>
    <w:p>
      <w:pPr>
        <w:pStyle w:val="BodyText"/>
      </w:pPr>
      <w:r>
        <w:t xml:space="preserve">Wolfram’s 2026 essay</w:t>
      </w:r>
      <w:r>
        <w:t xml:space="preserve"> </w:t>
      </w:r>
      <w:r>
        <w:t xml:space="preserve">“What Ultimately Is There? Metaphysics and the Ruliad”</w:t>
      </w:r>
      <w:r>
        <w:t xml:space="preserve"> </w:t>
      </w:r>
      <w:r>
        <w:t xml:space="preserve">— written as a launching statement for the Wolfram Institute’s Templeton-funded Computational Metaphysics programme — develops a set of moves that share structural territory with the present hypothesis. Both accounts treat the laws a system attributes to the universe as observer-dependent on computational bounds. Both locate tractable physical law in pockets of computational reducibility within an otherwise irreducible substrate. Both dissolve Wigner’s unreasonable-effectiveness puzzle by treating effectiveness as structurally necessary rather than surprising (Wolfram extends the same move to mathematics itself, on lines parallel to Section 3 of this paper). The convergence on these three moves is substantive and will be the most salient point of contact for readers familiar with either framework.</w:t>
      </w:r>
    </w:p>
    <w:p>
      <w:pPr>
        <w:pStyle w:val="BodyText"/>
      </w:pPr>
      <w:r>
        <w:t xml:space="preserve">The frameworks diverge on three specific commitments. Wolfram is a ruliad-monist: the space of all possible computations is the ultimate foundational construct, and physics is an observer-relative slice of it. The present paper is a kernel-pluralist: kernels (Brink 2026a § 3) are domain-specific structural features not reducible to slices of a prior totality. Wolfram’s ruliad is a necessary abstract object that observers sample; the present paper commits to process primacy as ontological substrate (§ 2) and explicitly declines the ruliad-as-object framing — reality is continuous asymmetric process, not a static space of possible computations that minds cut slices of. And the kernel criteria pick out features structural at scales intrinsic to the practice domains themselves rather than observer-relative in the sense the ruliad’s manifestation is — the Fifth, the Cut, the Mark, and the Pythagorean comma (Brink 2026e § 4) are the formal residue of distinction-drawing at specific domain scales, not what a computationally bounded observer happens to sample from a deeper totality. Whether this distinction survives sustained engagement with the ruliad programme is an open question [REQUIRES FORMAL VALIDATION].</w:t>
      </w:r>
    </w:p>
    <w:bookmarkEnd w:id="36"/>
    <w:bookmarkStart w:id="42" w:name="the-formal-questions"/>
    <w:p>
      <w:pPr>
        <w:pStyle w:val="Heading2"/>
      </w:pPr>
      <w:r>
        <w:t xml:space="preserve">8. The Formal Questions</w:t>
      </w:r>
    </w:p>
    <w:p>
      <w:pPr>
        <w:pStyle w:val="FirstParagraph"/>
      </w:pPr>
      <w:r>
        <w:t xml:space="preserve">Before this hypothesis can be advanced as more than a structurally compelling proposal with thermodynamic grounding, five questions require formal engagement.</w:t>
      </w:r>
    </w:p>
    <w:bookmarkStart w:id="37" w:name="X863a14b4ddfeeb4431dfc99dcee258151bb2e25"/>
    <w:p>
      <w:pPr>
        <w:pStyle w:val="Heading3"/>
      </w:pPr>
      <w:r>
        <w:t xml:space="preserve">8.1 The ontological status of the unmarked state</w:t>
      </w:r>
    </w:p>
    <w:p>
      <w:pPr>
        <w:pStyle w:val="FirstParagraph"/>
      </w:pPr>
      <w:r>
        <w:t xml:space="preserve">Spencer-Brown’s unmarked state is a formal primitive. The process-primacy account characterizes it as continuous asymmetric process prior to the first decoherence event. Whether this characterization satisfies the formal conditions of Spencer-Brown’s void — specifically, the absence of distinction, the pure potentiality prior to any mark — requires engagement with foundations of physics and philosophy of cosmology. The Weyl curvature hypothesis is the formal entry point. The specific question: is the pre-decoherence process formally equivalent to Spencer-Brown’s unmarked state, or does the process-primacy account introduce a distinction (between process and non-process) that Spencer-Brown’s framework does not permit at the Level 0 position?</w:t>
      </w:r>
    </w:p>
    <w:p>
      <w:pPr>
        <w:pStyle w:val="BodyText"/>
      </w:pPr>
      <w:r>
        <w:t xml:space="preserve">A second question about formal self-reference requires direct engagement. The meta-morphism that encodes D within C is self-referential: it is the morphism representing the distinction operation within the domain it generates. Category theorists will ask whether this triggers a Russell-style paradox — a category containing a representation of its own endofunctor. The answer this paper proposes is that the self-reference is the formal engine that generates the comma, not a defect to be avoided. Gödel’s incompleteness proof runs on exactly this structure: the system powerful enough to represent itself generates the unprovable statement through that same power. The meta-morphism’s self-reference is the distinction operation applied to itself — Spencer-Brown’s re-entry of the form into the form — and the incompleteness condition follows from that self-reference as a consequence rather than an additional condition. The specific question for the category theorist: is the meta-morphism’s self-referential structure formally equivalent to Gödel’s diagonalization, and if so does D4 follow as a theorem? If yes, the Russell structure is the engine. If no, the formalization requires rebuilding from a different base.</w:t>
      </w:r>
    </w:p>
    <w:p>
      <w:pPr>
        <w:pStyle w:val="BodyText"/>
      </w:pPr>
      <w:r>
        <w:t xml:space="preserve">A third question concerns the material substrate mapping. D3 defines the kernel as the fixed-point subcategory of the endofunctor D. For this to apply to domain practice, the material substrates — pitched sound, built form, syntactic sequence, moving image, computational branching, quantum measurement — must be formally mappable into objects and morphisms of a category C without losing the nuance of what those domains actually are. Whether the acoustic relationships of harmonic space, the structural relationships of load and support, or the grammatical relationships of recursive syntax can be faithfully modeled as objects and morphisms — and whether the domain-specific kernel in each case satisfies the fixed-point conditions D1–D4 — requires domain-specific evaluation for all six kernels. The category-theoretic formalization is a framework, not a completed mapping. Each domain requires its own formal engagement before the claim that the domain kernel satisfies D1–D4 can be advanced as established.</w:t>
      </w:r>
    </w:p>
    <w:bookmarkEnd w:id="37"/>
    <w:bookmarkStart w:id="38" w:name="X753c4e4ab81e51efa8c016ee83280adbc391e49"/>
    <w:p>
      <w:pPr>
        <w:pStyle w:val="Heading3"/>
      </w:pPr>
      <w:r>
        <w:t xml:space="preserve">8.2 Brouwer’s constructivism as formal precedent</w:t>
      </w:r>
    </w:p>
    <w:p>
      <w:pPr>
        <w:pStyle w:val="FirstParagraph"/>
      </w:pPr>
      <w:r>
        <w:t xml:space="preserve">Intuitionist mathematics provides a serious formal program for mathematics as constructive activity rather than external discovery. Whether the present hypothesis is consistent with, extends, or contradicts intuitionism requires engagement with the foundations of mathematics literature. The key question: does the comma-as-mathematics hypothesis require rejecting classical logic — as Brouwer does — or is it compatible with classical mathematics? The decoherence grounding may provide a physical basis for constructivism that Brouwer’s purely mental account lacked: constructive proof corresponds to decoherence-stabilized process, and excluded middle fails below the decoherence boundary where superposition holds. Whether this is a genuine formalization of Brouwer’s intuition or a superficial parallel requires engagement with a formal epistemologist or philosopher of mathematics.</w:t>
      </w:r>
    </w:p>
    <w:bookmarkEnd w:id="38"/>
    <w:bookmarkStart w:id="39" w:name="the-wigner-problem-as-formal-consequence"/>
    <w:p>
      <w:pPr>
        <w:pStyle w:val="Heading3"/>
      </w:pPr>
      <w:r>
        <w:t xml:space="preserve">8.3 The Wigner problem as formal consequence</w:t>
      </w:r>
    </w:p>
    <w:p>
      <w:pPr>
        <w:pStyle w:val="FirstParagraph"/>
      </w:pPr>
      <w:r>
        <w:t xml:space="preserve">The hypothesis proposes a formal dissolution of Wigner’s puzzle: mathematics is structurally necessary and thermodynamically selected at the decoherence scale. Whether this dissolution is formally adequate — whether it actually explains the specific cases Wigner cites rather than merely reframing them — requires engagement with the philosophy of mathematics and physics. The specific cases requiring engagement: why does complex number arithmetic, developed to solve polynomial equations, describe quantum mechanical amplitudes? The decoherence account would need to show that the decoherence boundary at the quantum scale specifically selects complex-valued descriptions. Whether this is demonstrable or merely suggestive is a formal question.</w:t>
      </w:r>
    </w:p>
    <w:bookmarkEnd w:id="39"/>
    <w:bookmarkStart w:id="40" w:name="Xbcc456dd8ad11b9a9cec7836c2651b993669182"/>
    <w:p>
      <w:pPr>
        <w:pStyle w:val="Heading3"/>
      </w:pPr>
      <w:r>
        <w:t xml:space="preserve">8.4 The relationship between Level 0 and the renormalization group</w:t>
      </w:r>
    </w:p>
    <w:p>
      <w:pPr>
        <w:pStyle w:val="FirstParagraph"/>
      </w:pPr>
      <w:r>
        <w:t xml:space="preserve">If the five positions are RG universality classes (Paper 3’s proposal), and mathematics is the formal residue of the Level 0 comma, then mathematics is the language in which universality classes are expressed — not because the universe is mathematical but because the distinction operation’s comma at every level takes mathematical form. Whether this is a formal consequence of the RG framework or an additional hypothesis requires engagement with someone working at the intersection of RG theory and foundations of mathematics. The decoherence framing sharpens the question: is each RG scale a decoherence scale, and if so, does the RG transformation formally describe the transition between decoherence-scale descriptions? This is a specific, falsifiable question.</w:t>
      </w:r>
    </w:p>
    <w:bookmarkEnd w:id="40"/>
    <w:bookmarkStart w:id="41" w:name="X055ada04a28a4318f861c710f2ae4a879347c45"/>
    <w:p>
      <w:pPr>
        <w:pStyle w:val="Heading3"/>
      </w:pPr>
      <w:r>
        <w:t xml:space="preserve">8.5 The apparatus definition: sufficiency of decoherence</w:t>
      </w:r>
    </w:p>
    <w:p>
      <w:pPr>
        <w:pStyle w:val="FirstParagraph"/>
      </w:pPr>
      <w:r>
        <w:t xml:space="preserve">The decoherence boundary is proposed as the technical definition of apparatus. Zurek’s einselection program is mainstream physics and not speculative. However, two residual problems require acknowledgment. First: decoherence resolves the preferred basis problem but not the single-outcome problem — it does not explain why a specific outcome obtains. Second: the claim that mathematics is the formal structure of descriptions valid at the decoherence scale requires showing that all mathematical structures correspond to decoherence-stabilized descriptions, which is not established. Whether complex numbers, non-Euclidean geometries, and transfinite cardinals are all decoherence-scale structures — or whether some mathematical structures exceed what decoherence stabilizes — is an open question that determines whether the apparatus definition is sufficient for the full scope of the claim.</w:t>
      </w:r>
    </w:p>
    <w:bookmarkEnd w:id="41"/>
    <w:bookmarkEnd w:id="42"/>
    <w:bookmarkStart w:id="43" w:name="what-this-paper-is-not"/>
    <w:p>
      <w:pPr>
        <w:pStyle w:val="Heading2"/>
      </w:pPr>
      <w:r>
        <w:t xml:space="preserve">9. What This Paper Is Not</w:t>
      </w:r>
    </w:p>
    <w:p>
      <w:pPr>
        <w:pStyle w:val="FirstParagraph"/>
      </w:pPr>
      <w:r>
        <w:t xml:space="preserve">This is not a paper arguing that the universe is mathematical (Tegmark’s Mathematical Universe Hypothesis). The Mathematical Universe Hypothesis claims that mathematical structures are physically real — that the universe is a mathematical object. The present hypothesis claims the opposite: mathematics is not the universe, it is what the universe generates when a distinction-drawing system operating above the decoherence boundary encounters its own limits. The universe is prior to mathematics, not identical with it. The process is prior to the description. The asymmetry is prior to the formal residue it generates.</w:t>
      </w:r>
    </w:p>
    <w:p>
      <w:pPr>
        <w:pStyle w:val="BodyText"/>
      </w:pPr>
      <w:r>
        <w:t xml:space="preserve">This is also not a paper arguing that mathematics is merely a human invention with no connection to external reality. The present hypothesis explains why mathematics connects to external reality with structural necessity — not because it was invented to do so, but because it is the formal structure of decoherence-stabilized descriptions, and decoherence-stabilized descriptions are the only descriptions possible. The connection is not contingent on human minds. It is structural.</w:t>
      </w:r>
    </w:p>
    <w:p>
      <w:pPr>
        <w:pStyle w:val="BodyText"/>
      </w:pPr>
      <w:r>
        <w:t xml:space="preserve">This paper also does not claim that Prigogine’s program failed for contingent reasons that better mathematics could overcome — the failure is structural, because any formal system capable of describing irreversible process is above the decoherence boundary by necessity — nor that the decoherence account of apparatus is complete. The single-outcome problem remains open. The present hypothesis uses the decoherence boundary as a precise technical definition of the measurement scale without claiming that decoherence resolves all questions about quantum measurement. The incompleteness of the decoherence account is itself an instance of the comma.</w:t>
      </w:r>
    </w:p>
    <w:bookmarkEnd w:id="43"/>
    <w:bookmarkStart w:id="44" w:name="references"/>
    <w:p>
      <w:pPr>
        <w:pStyle w:val="Heading2"/>
      </w:pPr>
      <w:r>
        <w:t xml:space="preserve">References</w:t>
      </w:r>
    </w:p>
    <w:p>
      <w:pPr>
        <w:pStyle w:val="FirstParagraph"/>
      </w:pPr>
      <w:r>
        <w:t xml:space="preserve">Bishop, E. (1967).</w:t>
      </w:r>
      <w:r>
        <w:t xml:space="preserve"> </w:t>
      </w:r>
      <w:r>
        <w:rPr>
          <w:i/>
          <w:iCs/>
        </w:rPr>
        <w:t xml:space="preserve">Foundations of constructive analysis</w:t>
      </w:r>
      <w:r>
        <w:t xml:space="preserve">. McGraw-Hill.</w:t>
      </w:r>
    </w:p>
    <w:p>
      <w:pPr>
        <w:pStyle w:val="BodyText"/>
      </w:pPr>
      <w:r>
        <w:t xml:space="preserve">Brink, C. (2026a). Kernels and commas: A structural derivation of universal positions in domains with self-limiting generative operations. MetaArXiv. https://osf.io/preprints/metaarxiv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(2026e). The Pythagorean comma, the irrationality of √2, and a shared Diophantine floor. Manuscript.</w:t>
      </w:r>
    </w:p>
    <w:p>
      <w:pPr>
        <w:pStyle w:val="BodyText"/>
      </w:pPr>
      <w:r>
        <w:t xml:space="preserve">Brouwer, L. E. J. (1912). Intuitionisme en Formalisme. [English translation: Intuitionism and Formalism,</w:t>
      </w:r>
      <w:r>
        <w:t xml:space="preserve"> </w:t>
      </w:r>
      <w:r>
        <w:rPr>
          <w:i/>
          <w:iCs/>
        </w:rPr>
        <w:t xml:space="preserve">Bulletin of the American Mathematical Society</w:t>
      </w:r>
      <w:r>
        <w:t xml:space="preserve">, 20, 81–96, 1913.]</w:t>
      </w:r>
    </w:p>
    <w:p>
      <w:pPr>
        <w:pStyle w:val="BodyText"/>
      </w:pPr>
      <w:r>
        <w:t xml:space="preserve">Cantor, G. (1891). Über eine elementare Frage der Mannigfaltigkeitslehre.</w:t>
      </w:r>
      <w:r>
        <w:t xml:space="preserve"> </w:t>
      </w:r>
      <w:r>
        <w:rPr>
          <w:i/>
          <w:iCs/>
        </w:rPr>
        <w:t xml:space="preserve">Jahresbericht der Deutschen Mathematiker-Vereinigung</w:t>
      </w:r>
      <w:r>
        <w:t xml:space="preserve">, 1, 75–78.</w:t>
      </w:r>
    </w:p>
    <w:p>
      <w:pPr>
        <w:pStyle w:val="BodyText"/>
      </w:pPr>
      <w:r>
        <w:t xml:space="preserve">Feynman, R. P., Leighton, R. B., &amp; Sands, M. (1963).</w:t>
      </w:r>
      <w:r>
        <w:t xml:space="preserve"> </w:t>
      </w:r>
      <w:r>
        <w:rPr>
          <w:i/>
          <w:iCs/>
        </w:rPr>
        <w:t xml:space="preserve">The Feynman lectures on physics, Vol. I: Mainly mechanics, radiation, and heat</w:t>
      </w:r>
      <w:r>
        <w:t xml:space="preserve"> </w:t>
      </w:r>
      <w:r>
        <w:t xml:space="preserve">(Ch. 22, Algebra). Addison-Wesley.</w:t>
      </w:r>
    </w:p>
    <w:p>
      <w:pPr>
        <w:pStyle w:val="BodyText"/>
      </w:pPr>
      <w:r>
        <w:t xml:space="preserve">Gödel, K. (1931). Über formal unentscheidbare Sätze der Principia Mathematica und verwandter Systeme I.</w:t>
      </w:r>
      <w:r>
        <w:t xml:space="preserve"> </w:t>
      </w:r>
      <w:r>
        <w:rPr>
          <w:i/>
          <w:iCs/>
        </w:rPr>
        <w:t xml:space="preserve">Monatshefte für Mathematik und Physik</w:t>
      </w:r>
      <w:r>
        <w:t xml:space="preserve">, 38, 173–198.</w:t>
      </w:r>
    </w:p>
    <w:p>
      <w:pPr>
        <w:pStyle w:val="BodyText"/>
      </w:pPr>
      <w:r>
        <w:t xml:space="preserve">Penrose, R. (1979). Singularities and time-asymmetry. In S. W. Hawking &amp; W. Israel (Eds.),</w:t>
      </w:r>
      <w:r>
        <w:t xml:space="preserve"> </w:t>
      </w:r>
      <w:r>
        <w:rPr>
          <w:i/>
          <w:iCs/>
        </w:rPr>
        <w:t xml:space="preserve">General Relativity: An Einstein Centenary Survey</w:t>
      </w:r>
      <w:r>
        <w:t xml:space="preserve">. Cambridge University Press.</w:t>
      </w:r>
    </w:p>
    <w:p>
      <w:pPr>
        <w:pStyle w:val="BodyText"/>
      </w:pPr>
      <w:r>
        <w:t xml:space="preserve">Prigogine, I. (1977).</w:t>
      </w:r>
      <w:r>
        <w:t xml:space="preserve"> </w:t>
      </w:r>
      <w:r>
        <w:rPr>
          <w:i/>
          <w:iCs/>
        </w:rPr>
        <w:t xml:space="preserve">Self-organization in nonequilibrium systems</w:t>
      </w:r>
      <w:r>
        <w:t xml:space="preserve">. Wiley.</w:t>
      </w:r>
    </w:p>
    <w:p>
      <w:pPr>
        <w:pStyle w:val="BodyText"/>
      </w:pPr>
      <w:r>
        <w:t xml:space="preserve">Prigogine, I. (1997).</w:t>
      </w:r>
      <w:r>
        <w:t xml:space="preserve"> </w:t>
      </w:r>
      <w:r>
        <w:rPr>
          <w:i/>
          <w:iCs/>
        </w:rPr>
        <w:t xml:space="preserve">The end of certainty: Time, chaos, and the new laws of nature</w:t>
      </w:r>
      <w:r>
        <w:t xml:space="preserve">. Free Press.</w:t>
      </w:r>
    </w:p>
    <w:p>
      <w:pPr>
        <w:pStyle w:val="BodyText"/>
      </w:pPr>
      <w:r>
        <w:t xml:space="preserve">Spencer-Brown, G. (1969).</w:t>
      </w:r>
      <w:r>
        <w:t xml:space="preserve"> </w:t>
      </w:r>
      <w:r>
        <w:rPr>
          <w:i/>
          <w:iCs/>
        </w:rPr>
        <w:t xml:space="preserve">Laws of form</w:t>
      </w:r>
      <w:r>
        <w:t xml:space="preserve">. Allen and Unwin.</w:t>
      </w:r>
    </w:p>
    <w:p>
      <w:pPr>
        <w:pStyle w:val="BodyText"/>
      </w:pPr>
      <w:r>
        <w:t xml:space="preserve">Tegmark, M. (2008). The mathematical universe.</w:t>
      </w:r>
      <w:r>
        <w:t xml:space="preserve"> </w:t>
      </w:r>
      <w:r>
        <w:rPr>
          <w:i/>
          <w:iCs/>
        </w:rPr>
        <w:t xml:space="preserve">Foundations of Physics</w:t>
      </w:r>
      <w:r>
        <w:t xml:space="preserve">, 38(2), 101–150.</w:t>
      </w:r>
    </w:p>
    <w:p>
      <w:pPr>
        <w:pStyle w:val="BodyText"/>
      </w:pPr>
      <w:r>
        <w:t xml:space="preserve">Turing, A. M. (1936). On computable numbers, with an application to the Entscheidungsproblem.</w:t>
      </w:r>
      <w:r>
        <w:t xml:space="preserve"> </w:t>
      </w:r>
      <w:r>
        <w:rPr>
          <w:i/>
          <w:iCs/>
        </w:rPr>
        <w:t xml:space="preserve">Proceedings of the London Mathematical Society</w:t>
      </w:r>
      <w:r>
        <w:t xml:space="preserve">, 2(42), 230–265.</w:t>
      </w:r>
    </w:p>
    <w:p>
      <w:pPr>
        <w:pStyle w:val="BodyText"/>
      </w:pPr>
      <w:r>
        <w:t xml:space="preserve">Weyl, H. (1918).</w:t>
      </w:r>
      <w:r>
        <w:t xml:space="preserve"> </w:t>
      </w:r>
      <w:r>
        <w:rPr>
          <w:i/>
          <w:iCs/>
        </w:rPr>
        <w:t xml:space="preserve">Das Kontinuum</w:t>
      </w:r>
      <w:r>
        <w:t xml:space="preserve">. Veit.</w:t>
      </w:r>
    </w:p>
    <w:p>
      <w:pPr>
        <w:pStyle w:val="BodyText"/>
      </w:pPr>
      <w:r>
        <w:t xml:space="preserve">Wigner, E. P. (1960). The unreasonable effectiveness of mathematics in the natural sciences.</w:t>
      </w:r>
      <w:r>
        <w:t xml:space="preserve"> </w:t>
      </w:r>
      <w:r>
        <w:rPr>
          <w:i/>
          <w:iCs/>
        </w:rPr>
        <w:t xml:space="preserve">Communications on Pure and Applied Mathematics</w:t>
      </w:r>
      <w:r>
        <w:t xml:space="preserve">, 13(1), 1–14.</w:t>
      </w:r>
    </w:p>
    <w:p>
      <w:pPr>
        <w:pStyle w:val="BodyText"/>
      </w:pPr>
      <w:r>
        <w:t xml:space="preserve">Wilson, K. G. (1971). Renormalization group and critical phenomena I.</w:t>
      </w:r>
      <w:r>
        <w:t xml:space="preserve"> </w:t>
      </w:r>
      <w:r>
        <w:rPr>
          <w:i/>
          <w:iCs/>
        </w:rPr>
        <w:t xml:space="preserve">Physical Review B</w:t>
      </w:r>
      <w:r>
        <w:t xml:space="preserve">, 4(9), 3174–3183.</w:t>
      </w:r>
    </w:p>
    <w:p>
      <w:pPr>
        <w:pStyle w:val="BodyText"/>
      </w:pPr>
      <w:r>
        <w:t xml:space="preserve">Wolfram, S. (2002).</w:t>
      </w:r>
      <w:r>
        <w:t xml:space="preserve"> </w:t>
      </w:r>
      <w:r>
        <w:rPr>
          <w:i/>
          <w:iCs/>
        </w:rPr>
        <w:t xml:space="preserve">A new kind of science</w:t>
      </w:r>
      <w:r>
        <w:t xml:space="preserve">. Wolfram Media.</w:t>
      </w:r>
    </w:p>
    <w:p>
      <w:pPr>
        <w:pStyle w:val="BodyText"/>
      </w:pPr>
      <w:r>
        <w:t xml:space="preserve">Wolfram, S. (2026). What ultimately is there? Metaphysics and the ruliad.</w:t>
      </w:r>
      <w:r>
        <w:t xml:space="preserve"> </w:t>
      </w:r>
      <w:r>
        <w:rPr>
          <w:i/>
          <w:iCs/>
        </w:rPr>
        <w:t xml:space="preserve">Stephen Wolfram Writings</w:t>
      </w:r>
      <w:r>
        <w:t xml:space="preserve">, 4 February 2026. https://writings.stephenwolfram.com/2026/02/what-ultimately-is-there-metaphysics-and-the-ruliad/</w:t>
      </w:r>
    </w:p>
    <w:p>
      <w:pPr>
        <w:pStyle w:val="BodyText"/>
      </w:pPr>
      <w:r>
        <w:t xml:space="preserve">Zurek, W. H. (1981). Pointer basis of quantum apparatus: Into what mixture does the wave packet collapse?</w:t>
      </w:r>
      <w:r>
        <w:t xml:space="preserve"> </w:t>
      </w:r>
      <w:r>
        <w:rPr>
          <w:i/>
          <w:iCs/>
        </w:rPr>
        <w:t xml:space="preserve">Physical Review D</w:t>
      </w:r>
      <w:r>
        <w:t xml:space="preserve">, 24(6), 1516–1525.</w:t>
      </w:r>
    </w:p>
    <w:p>
      <w:pPr>
        <w:pStyle w:val="BodyText"/>
      </w:pPr>
      <w:r>
        <w:t xml:space="preserve">Zurek, W. H. (2003). Decoherence, einselection, and the quantum origins of the classical.</w:t>
      </w:r>
      <w:r>
        <w:t xml:space="preserve"> </w:t>
      </w:r>
      <w:r>
        <w:rPr>
          <w:i/>
          <w:iCs/>
        </w:rPr>
        <w:t xml:space="preserve">Reviews of Modern Physics</w:t>
      </w:r>
      <w:r>
        <w:t xml:space="preserve">, 75(3), 715–775.</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2026-04-21T21:37:40Z</dcterms:created>
  <dcterms:modified xsi:type="dcterms:W3CDTF">2026-04-21T21:37:40Z</dcterms:modified>
</cp:coreProperties>
</file>

<file path=docProps/custom.xml><?xml version="1.0" encoding="utf-8"?>
<Properties xmlns="http://schemas.openxmlformats.org/officeDocument/2006/custom-properties" xmlns:vt="http://schemas.openxmlformats.org/officeDocument/2006/docPropsVTypes"/>
</file>