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Kernels and Commas: A Structural Derivation of Universal Positions in Domains with Self-Limiting Generative Operations</w:t>
      </w:r>
    </w:p>
    <w:p>
      <w:pPr>
        <w:pStyle w:val="BodyText"/>
      </w:pPr>
      <w:r>
        <w:t xml:space="preserve">Chris Brink</w:t>
      </w:r>
    </w:p>
    <w:p>
      <w:pPr>
        <w:pStyle w:val="BodyText"/>
      </w:pPr>
      <w:r>
        <w:rPr>
          <w:b/>
          <w:bCs/>
        </w:rPr>
        <w:t xml:space="preserve">Chris Brink</w:t>
      </w:r>
    </w:p>
    <w:p>
      <w:pPr>
        <w:pStyle w:val="BodyText"/>
      </w:pPr>
      <w:r>
        <w:t xml:space="preserve">FalseWork (falsework.dev)</w:t>
      </w:r>
    </w:p>
    <w:p>
      <w:pPr>
        <w:pStyle w:val="BodyText"/>
      </w:pPr>
      <w:r>
        <w:rPr>
          <w:i/>
          <w:iCs/>
        </w:rPr>
        <w:t xml:space="preserve">Version 11.5. Revisions from version 11.4: Section 2 now identifies the Cantor and Gödel groundings as two instances of Lawvere’s fixed-point theorem (Lawvere 1969; unification established in Yanofsky 2003, surveyed in Barreto 2025), and distinguishes Wolfram’s Principle of Computational Equivalence from the Cantor-Gödel pair as a universality-class claim whose consequences (halting problem, Rice’s theorem) are themselves Lawvere instances but which is not itself a fixed-point theorem. Section 2.1 adds a reformulation of the extension-to-practice question through a proposed correspondence between G ∧ R ∧ C and Lawvere’s categorical hypothesis, reframing the open question as the specification of the ambient cartesian closed category and endofunctor for each kernel. Both additions are flagged</w:t>
      </w:r>
      <w:r>
        <w:rPr>
          <w:i/>
          <w:iCs/>
        </w:rPr>
        <w:t xml:space="preserve"> </w:t>
      </w:r>
      <w:r>
        <w:rPr>
          <w:rStyle w:val="VerbatimChar"/>
          <w:i/>
          <w:iCs/>
        </w:rPr>
        <w:t xml:space="preserve">[REVIEW: category theorist]</w:t>
      </w:r>
      <w:r>
        <w:rPr>
          <w:i/>
          <w:iCs/>
        </w:rPr>
        <w:t xml:space="preserve"> </w:t>
      </w:r>
      <w:r>
        <w:rPr>
          <w:i/>
          <w:iCs/>
        </w:rPr>
        <w:t xml:space="preserve">and tracked as an open validation claim at</w:t>
      </w:r>
      <w:r>
        <w:rPr>
          <w:i/>
          <w:iCs/>
        </w:rPr>
        <w:t xml:space="preserve"> </w:t>
      </w:r>
      <w:r>
        <w:rPr>
          <w:rStyle w:val="VerbatimChar"/>
          <w:i/>
          <w:iCs/>
        </w:rPr>
        <w:t xml:space="preserve">validation/claims/lawvere-unification-of-formal-groundings.md</w:t>
      </w:r>
      <w:r>
        <w:rPr>
          <w:i/>
          <w:iCs/>
        </w:rPr>
        <w:t xml:space="preserve">. No substantive revisions to the five-position derivation, the falsifiability conditions of § 3.3, or the empirical demonstrations of § 4.</w:t>
      </w:r>
    </w:p>
    <w:p>
      <w:pPr>
        <w:pStyle w:val="BodyText"/>
      </w:pPr>
      <w:r>
        <w:rPr>
          <w:i/>
          <w:iCs/>
        </w:rPr>
        <w:t xml:space="preserve">Version 11.4. Revisions from version 11.3: new § 5.4 (</w:t>
      </w:r>
      <w:r>
        <w:rPr>
          <w:i/>
          <w:iCs/>
        </w:rPr>
        <w:t xml:space="preserve">“Scholarly Precedent for Domain-Dependent Formalism”</w:t>
      </w:r>
      <w:r>
        <w:rPr>
          <w:i/>
          <w:iCs/>
        </w:rPr>
        <w:t xml:space="preserve">) citing Ellis (2016) on multi-level emergence and Cartwright (1999) on the dappled-world thesis as independent philosophy-of-science precedent for the paper’s methodological commitment that different domains admit different degrees of formalism. The citations are presented as adjacent scholarly support rather than endorsement, flagged</w:t>
      </w:r>
      <w:r>
        <w:rPr>
          <w:i/>
          <w:iCs/>
        </w:rPr>
        <w:t xml:space="preserve"> </w:t>
      </w:r>
      <w:r>
        <w:rPr>
          <w:rStyle w:val="VerbatimChar"/>
          <w:i/>
          <w:iCs/>
        </w:rPr>
        <w:t xml:space="preserve">[REVIEW: philosopher of science]</w:t>
      </w:r>
      <w:r>
        <w:rPr>
          <w:i/>
          <w:iCs/>
        </w:rPr>
        <w:t xml:space="preserve">, and tracked as an open validation claim at</w:t>
      </w:r>
      <w:r>
        <w:rPr>
          <w:i/>
          <w:iCs/>
        </w:rPr>
        <w:t xml:space="preserve"> </w:t>
      </w:r>
      <w:r>
        <w:rPr>
          <w:rStyle w:val="VerbatimChar"/>
          <w:i/>
          <w:iCs/>
        </w:rPr>
        <w:t xml:space="preserve">validation/claims/ellis-cartwright-philosophical-support.md</w:t>
      </w:r>
      <w:r>
        <w:rPr>
          <w:i/>
          <w:iCs/>
        </w:rPr>
        <w:t xml:space="preserve"> </w:t>
      </w:r>
      <w:r>
        <w:rPr>
          <w:i/>
          <w:iCs/>
        </w:rPr>
        <w:t xml:space="preserve">(GitHub issue</w:t>
      </w:r>
      <w:r>
        <w:rPr>
          <w:i/>
          <w:iCs/>
        </w:rPr>
        <w:t xml:space="preserve"> </w:t>
      </w:r>
      <w:hyperlink r:id="rId9">
        <w:r>
          <w:rPr>
            <w:rStyle w:val="Hyperlink"/>
            <w:i/>
            <w:iCs/>
          </w:rPr>
          <w:t xml:space="preserve">#10</w:t>
        </w:r>
      </w:hyperlink>
      <w:r>
        <w:rPr>
          <w:i/>
          <w:iCs/>
        </w:rPr>
        <w:t xml:space="preserve">). No substantive revisions to the five-position derivation, the falsifiability conditions of § 3.3, or the empirical demonstrations of § 4.</w:t>
      </w:r>
    </w:p>
    <w:p>
      <w:pPr>
        <w:pStyle w:val="BodyText"/>
      </w:pPr>
      <w:r>
        <w:rPr>
          <w:i/>
          <w:iCs/>
        </w:rPr>
        <w:t xml:space="preserve">Version 11.3. Revisions from version 11.2: Section 2 now defers to Brink 2026d (v5.0) § 2.5 as the canonical cumulative statement of the Cantor extension’s [REQUIRES FORMAL VALIDATION] status across the four-paper series, and carries a forward-reference to Brink 2026c (v9.0) § 4 for the Russell-type / Gödel-type distinction applied to the Incompleteness Condition and all subsequent commas in the framework. No substantive changes to the five-position derivation or to the falsifiability conditions of Section 3.3.</w:t>
      </w:r>
    </w:p>
    <w:bookmarkStart w:id="10" w:name="abstract"/>
    <w:p>
      <w:pPr>
        <w:pStyle w:val="Heading2"/>
      </w:pPr>
      <w:r>
        <w:t xml:space="preserve">Abstract</w:t>
      </w:r>
    </w:p>
    <w:p>
      <w:pPr>
        <w:pStyle w:val="FirstParagraph"/>
      </w:pPr>
      <w:r>
        <w:t xml:space="preserve">Every domain of sustained human practice organized around a minimal generative operation encounters a structural limit it cannot resolve from within its own rules. This paper proposes that this structure — a self-limiting generative operation producing its own incompleteness — recurs across domains not by historical coincidence but because it follows from the relationship between generative sufficiency and formal completeness. We formalize this as the Incompleteness Condition: any system satisfying generative sufficiency (G), self-reference (R), and compositional closure (C) contains at least one construct undecidable within its own rules. This condition is demonstrated for formal systems (Gödel 1931) and computational systems (Wolfram 2002); its extension to domains of creative and scientific practice is proposed as a hypothesis tested through the kernel framework rather than proven from first principles. The condition instantiates locally in each domain as a kernel — the minimal self-limiting generative operation — and generates a specific irresolvable gap, which we term the comma after the Pythagorean comma in music theory. We then derive, from a predicate partition over a target space with three components (field, geometry of the comma, limit) — where the three components correspond to the three and only three spatial relations to a boundary (interior, boundary structure, boundary itself) — five and only five structurally distinct positions: Infrastructure, Distribution, Exploitation, Commitment, and Refusal. We propose these five positions are mutually exclusive, collectively exhaustive, and domain-agnostic — the same topology appears across music, cinema, architecture, literature, software, and physics because the derivation applies wherever a kernel exists. Empirical grounding is provided through four demonstrations: independent corroboration of FalseWork’s three-way Coltrane discrimination by music theorist Dmitri Tymoczko, whose geometric framework maps the same three works onto the same three structural fields from a different analytical starting point; discrimination between two works sharing identical three-axis classifications (Hitchcock’s</w:t>
      </w:r>
      <w:r>
        <w:t xml:space="preserve"> </w:t>
      </w:r>
      <w:r>
        <w:rPr>
          <w:i/>
          <w:iCs/>
        </w:rPr>
        <w:t xml:space="preserve">Psycho</w:t>
      </w:r>
      <w:r>
        <w:t xml:space="preserve"> </w:t>
      </w:r>
      <w:r>
        <w:t xml:space="preserve">shower scene and Eisenstein’s Odessa Steps sequence) by exploitation target within the cinema kernel; a cross-domain structural comparison at full resolution; and a proxy feature program demonstration showing that structural positions are recoverable from measurable formal properties and that proxy failure reveals internal structure of the comma the theoretical definition had not fully specified. The paper identifies three open problems: the corpus-level Commitment classification gap, open calibration questions in the proxy feature program, and the epistemic dependency problem — the structural consequence of a classification pipeline trained on the theoretical traditions it classifies within.</w:t>
      </w:r>
    </w:p>
    <w:bookmarkEnd w:id="10"/>
    <w:bookmarkStart w:id="11" w:name="introduction"/>
    <w:p>
      <w:pPr>
        <w:pStyle w:val="Heading2"/>
      </w:pPr>
      <w:r>
        <w:t xml:space="preserve">1. Introduction</w:t>
      </w:r>
    </w:p>
    <w:p>
      <w:pPr>
        <w:pStyle w:val="FirstParagraph"/>
      </w:pPr>
      <w:r>
        <w:t xml:space="preserve">The history of any domain of sustained human practice is, at some level, a history of responses to a structural problem the domain did not choose. Western tonal music has managed the same irresolvable gap for five centuries. Cinema has organized itself around the same generative tension since the first splice. Architecture has negotiated the same incommensurability between structural necessity and experiential intention since the first wall bore the first load. These are not different problems sharing a family resemblance. This paper proposes they are the same problem instantiated in different material substrates.</w:t>
      </w:r>
    </w:p>
    <w:p>
      <w:pPr>
        <w:pStyle w:val="BodyText"/>
      </w:pPr>
      <w:r>
        <w:t xml:space="preserve">The proposal is not analogical. It is structural. A domain organized around a minimal generative operation — an operation prior to any practitioner’s choices, capable of generating the entire field of possibility in the domain, and inescapable by any non-trivial instance of the domain — will produce, at the limit of that operation’s own logic, an irresolvable gap. The gap is not contingent on the domain’s history or material substrate. It is a structural consequence of the relationship between generative sufficiency and formal completeness, formalized here as the Incompleteness Condition. The operation is what we call a kernel. The gap is what we call a comma, after the Pythagorean comma in music theory — the 23.46-cent discrepancy produced when twelve successive perfect fifths fail to return to the origin pitch.</w:t>
      </w:r>
    </w:p>
    <w:p>
      <w:pPr>
        <w:pStyle w:val="BodyText"/>
      </w:pPr>
      <w:r>
        <w:t xml:space="preserve">Given a kernel and its comma, what structural positions are available to practitioners? The answer is not empirically discovered — it is derived. From a structured decision tree — one binary distinction (encounter or non-encounter of the comma) followed by a partition of the encounter branch into three structural targets (the field, the geometry of the comma, and the limit itself) — five and only five structurally distinct positions follow: Infrastructure, Distribution, Exploitation, Commitment, and Refusal. We propose these positions are mutually exclusive and collectively exhaustive — not as an observed pattern but as a logical consequence of the structure of the problem. The same five positions appear across music, cinema, architecture, literature, software, and physics not because these domains share historical influence or surface resemblance but because the derivation applies wherever a kernel exists.</w:t>
      </w:r>
    </w:p>
    <w:p>
      <w:pPr>
        <w:pStyle w:val="BodyText"/>
      </w:pPr>
      <w:r>
        <w:t xml:space="preserve">This claim is falsifiable on two conditions. First: if a non-trivial work in any domain can be shown to occupy a position not reducible to one of the five, the derivation is incomplete. Second: if a domain with a kernel consistently produces classification failures across a large corpus, the kernel definition is wrong. The framework proposes that classification failure is diagnostic — it identifies errors in kernel definition rather than exceptions to the topology. Four empirical demonstrations are provided: independent corroboration of FalseWork’s three-way Coltrane discrimination by music theorist Dmitri Tymoczko (Princeton University), whose geometric framework independently maps the same three works onto the same three structural fields (Tymoczko 2011); a discrimination between two works sharing identical three-axis classifications by exploitation target within the cinema kernel, grounded in film perception researcher James Cutting’s (Cornell University) empirical taxonomy of cinematic forms (Cutting, forthcoming); a cross-domain structural comparison at full resolution; and a proxy feature program demonstration testing whether structural positions are recoverable from measurable formal properties. Three open problems are identified, including the epistemic dependency problem — the structural consequence of a classification pipeline trained on the theoretical traditions it classifies within.</w:t>
      </w:r>
    </w:p>
    <w:p>
      <w:pPr>
        <w:pStyle w:val="BodyText"/>
      </w:pPr>
      <w:r>
        <w:t xml:space="preserve">The framework is implemented as a computational classification instrument at FalseWork (Brink 2026). The platform is the operational demonstration; this paper is the theoretical argument.</w:t>
      </w:r>
    </w:p>
    <w:bookmarkEnd w:id="11"/>
    <w:bookmarkStart w:id="13" w:name="the-incompleteness-condition"/>
    <w:p>
      <w:pPr>
        <w:pStyle w:val="Heading2"/>
      </w:pPr>
      <w:r>
        <w:t xml:space="preserve">2. The Incompleteness Condition</w:t>
      </w:r>
    </w:p>
    <w:p>
      <w:pPr>
        <w:pStyle w:val="FirstParagraph"/>
      </w:pPr>
      <w:r>
        <w:t xml:space="preserve">We begin with a formal condition that grounds the kernel concept across domains. Let S be a formal system satisfying three properties:</w:t>
      </w:r>
    </w:p>
    <w:p>
      <w:pPr>
        <w:pStyle w:val="BodyText"/>
      </w:pPr>
      <w:r>
        <w:rPr>
          <w:b/>
          <w:bCs/>
        </w:rPr>
        <w:t xml:space="preserve">G — Generative sufficiency</w:t>
      </w:r>
      <w:r>
        <w:t xml:space="preserve"> </w:t>
      </w:r>
      <w:r>
        <w:t xml:space="preserve">— S can generate all compositional states of its domain.</w:t>
      </w:r>
      <w:r>
        <w:t xml:space="preserve"> </w:t>
      </w:r>
      <w:r>
        <w:rPr>
          <w:b/>
          <w:bCs/>
        </w:rPr>
        <w:t xml:space="preserve">R — Self-reference</w:t>
      </w:r>
      <w:r>
        <w:t xml:space="preserve"> </w:t>
      </w:r>
      <w:r>
        <w:t xml:space="preserve">— S’s rules can refer to outputs of other rules.</w:t>
      </w:r>
      <w:r>
        <w:t xml:space="preserve"> </w:t>
      </w:r>
      <w:r>
        <w:rPr>
          <w:b/>
          <w:bCs/>
        </w:rPr>
        <w:t xml:space="preserve">C — Compositional closure</w:t>
      </w:r>
      <w:r>
        <w:t xml:space="preserve"> </w:t>
      </w:r>
      <w:r>
        <w:t xml:space="preserve">— closure under composition generates constructs whose resolution requires simulation rather than analysis.</w:t>
      </w:r>
    </w:p>
    <w:p>
      <w:pPr>
        <w:pStyle w:val="BodyText"/>
      </w:pPr>
      <w:r>
        <w:rPr>
          <w:b/>
          <w:bCs/>
        </w:rPr>
        <w:t xml:space="preserve">Incompleteness Condition.</w:t>
      </w:r>
      <w:r>
        <w:t xml:space="preserve"> </w:t>
      </w:r>
      <w:r>
        <w:t xml:space="preserve">For all S satisfying G ∧ R ∧ C, there exists at least one construct undecidable within S.</w:t>
      </w:r>
    </w:p>
    <w:p>
      <w:pPr>
        <w:pStyle w:val="BodyText"/>
      </w:pPr>
      <w:r>
        <w:t xml:space="preserve">This condition has three independent groundings in the formal literature, each approaching it from a different direction.</w:t>
      </w:r>
    </w:p>
    <w:p>
      <w:pPr>
        <w:pStyle w:val="BodyText"/>
      </w:pPr>
      <w:r>
        <w:t xml:space="preserve">Cantor (1891) demonstrated the set-theoretic instantiation, which is the most elementary of the three and the one that makes the structural relationship between generative power and incompleteness most visible. The diagonal argument shows that for any enumerated list of infinite binary sequences, a new sequence can always be constructed by inverting the nth element of the nth sequence — producing a sequence that differs from every sequence on the list at at least one position. No enumeration of all binary sequences is complete. The construction is self-referential: it refers to the list it is trying to escape. Cantor’s theorem generalizes this result: for any set S, the power set P(S) — the set of all subsets of S — is strictly larger than S. There is no bijection between a set and its power set; the space of all possible subsets always exceeds the set that generates them. Applied to the Incompleteness Condition: any system satisfying G ∧ R ∧ C generates a field F whose boundary — the set of all possible structural relationships to F — is strictly larger than F itself. The system cannot enumerate its own limits from within because the space of possible resolutions of those limits categorically exceeds the system’s generative capacity. The comma is not merely an irresolvable gap. It is a gap of higher cardinality than the operation that produces it.</w:t>
      </w:r>
    </w:p>
    <w:p>
      <w:pPr>
        <w:pStyle w:val="BodyText"/>
      </w:pPr>
      <w:r>
        <w:t xml:space="preserve">A note on the scope of this claim: Cantor’s theorem is an established result in set theory and applies directly to formally defined sets with well-specified membership conditions. The application to domain kernels — treating F, the generative field of a kernel, as a set over which the power set theorem holds — is a proposed extension rather than a direct application. Whether the generative field of each kernel constitutes a well-defined set in the relevant formal sense is a question requiring engagement with a mathematician or formal logician before the claim can be advanced as a proven result rather than a structurally compelling proposal. What the theorem establishes directly is the set-theoretic and arithmetic-level irresolvability; its extension to domain practice is the framework’s hypothesis, consistent with the treatment of G ∧ R ∧ C throughout Section 2.1. The Cantor extension is invoked with increasing foundational load across subsequent papers in the series — applied to the space of analytical frames for a domain in Brink 2026b, to the epistemic position of knowledge-producing systems at Level 7 in Brink 2026c, and to the Level 0 comma at the formal residue of the first distinction in Brink 2026d. The canonical cumulative statement of this extension, naming the full four-place sequence and its shared [REQUIRES FORMAL VALIDATION] status, lives in Brink 2026d (v5.0) § 2.5; readers should calibrate the extension’s use throughout the series against that canonical formulation.</w:t>
      </w:r>
    </w:p>
    <w:p>
      <w:pPr>
        <w:pStyle w:val="BodyText"/>
      </w:pPr>
      <w:r>
        <w:t xml:space="preserve">Gödel (1931) demonstrated the arithmetic instantiation: any consistent formal system strong enough to express basic arithmetic contains true statements unprovable from within its own axioms. The system’s power and its incompleteness are not in tension — they are the same thing. A system weak enough to avoid incompleteness is too weak to generate the domain. A system powerful enough to generate the domain is powerful enough to generate statements about its own limits that it cannot resolve from within its own rules. Gödel’s conditions — consistent, recursively enumerable, sufficiently expressive — are a specific instantiation of G ∧ R ∧ C for formal arithmetic. A note on the kind of incompleteness the Condition refers to: it is Gödel-type productive incompleteness (an undecidable construct the system absorbs while remaining operative) rather than Russell-type inconsistency (a contradiction forcing formal system revision). The distinction matters — ZFC responded to Russell’s paradox by restricting comprehension; Peano arithmetic absorbed Gödel’s result without revision. The Incompleteness Condition as specified here, and the comma at every subsequent level of the framework, is Gödel-type throughout. The distinction is developed formally in Brink 2026c (v9.0) § 4.</w:t>
      </w:r>
    </w:p>
    <w:p>
      <w:pPr>
        <w:pStyle w:val="BodyText"/>
      </w:pPr>
      <w:r>
        <w:t xml:space="preserve">Wolfram (2002) demonstrated the computational instantiation through the Principle of Computational Equivalence: above a low threshold of complexity, all systems are computationally equivalent, and computationally equivalent systems are computationally irreducible — their outputs cannot be predicted without running the computation. The shortcut does not exist. The ceiling is structural, not contingent. Wolfram’s threshold is the point at which G ∧ R ∧ C is satisfied in computational systems; above it, undecidable constructs appear universally.</w:t>
      </w:r>
    </w:p>
    <w:p>
      <w:pPr>
        <w:pStyle w:val="BodyText"/>
      </w:pPr>
      <w:r>
        <w:t xml:space="preserve">Hofstadter (1979) provides the interpretive bridge between Gödel’s formal proof and its instantiation in complex systems. Strange loops and tangled hierarchies — the self-referential structures Hofstadter maps in formal systems, visual art, and music — are the phenomenology of the Incompleteness Condition operating, the experiential surface of a system encountering its own limits. GEB is not a third independent grounding alongside a formal proof and a computational principle; it is the account that makes the condition legible across registers.</w:t>
      </w:r>
    </w:p>
    <w:p>
      <w:pPr>
        <w:pStyle w:val="BodyText"/>
      </w:pPr>
      <w:r>
        <w:t xml:space="preserve">The three formal groundings are convergent rather than derived from each other. Cantor’s diagonal argument does not depend on Gödel’s proof or Wolfram’s principle. Gödel’s proof does not depend on Cantor’s set theory or Wolfram’s computational results. Wolfram’s principle does not depend on either. Each arrives at the same structural condition — that sufficiently powerful self-referential systems generate constructs undecidable within their own rules — from a different starting point in a different mathematical domain: set theory, arithmetic, computation. Their convergence across three independent domains is evidence that the condition is real rather than artifactual. The convergence of the three formal results is established. The extension of that convergence to domains of practice — the claim that creative and scientific domains satisfy the same structural condition — remains a hypothesis tested through the kernel framework, as Section 2.1 makes explicit. Hofstadter’s contribution is making that convergence legible: mapping the phenomenology that the three establish formally.</w:t>
      </w:r>
    </w:p>
    <w:p>
      <w:pPr>
        <w:pStyle w:val="BodyText"/>
      </w:pPr>
      <w:r>
        <w:rPr>
          <w:b/>
          <w:bCs/>
        </w:rPr>
        <w:t xml:space="preserve">Lawvere’s unification.</w:t>
      </w:r>
      <w:r>
        <w:t xml:space="preserve"> </w:t>
      </w:r>
      <w:r>
        <w:t xml:space="preserve">The convergence of Cantor and Gödel is tighter than independent co-occurrence. Both are instances of a single categorical theorem — Lawvere’s fixed-point theorem (Lawvere 1969) — whose unification role was established rigorously by Yanofsky (2003) and surveyed in Barreto (2025). Lawvere’s theorem asserts that in a cartesian closed category, the existence of a point-surjective map A → B^A combined with any endomorphism g: B → B with no fixed point produces a contradiction; contrapositively, the existence of such a g precludes the existence of such a map. Diagonal constructions are the standard technique for exhibiting endomorphisms with no fixed point in specific categories, which is why Cantor’s diagonal argument, Cantor’s theorem, Gödel’s first incompleteness theorem, Russell’s paradox, Turing’s undecidability of the halting problem, and Tarski’s undefinability theorem all fall out of the same categorical scheme. The Cantor-Gödel pair of the preceding paragraphs is therefore strengthened from</w:t>
      </w:r>
      <w:r>
        <w:t xml:space="preserve"> </w:t>
      </w:r>
      <w:r>
        <w:t xml:space="preserve">“independent convergence of two theorems”</w:t>
      </w:r>
      <w:r>
        <w:t xml:space="preserve"> </w:t>
      </w:r>
      <w:r>
        <w:t xml:space="preserve">to</w:t>
      </w:r>
      <w:r>
        <w:t xml:space="preserve"> </w:t>
      </w:r>
      <w:r>
        <w:t xml:space="preserve">“two instances of one categorical theorem”</w:t>
      </w:r>
      <w:r>
        <w:t xml:space="preserve"> </w:t>
      </w:r>
      <w:r>
        <w:t xml:space="preserve">— the convergence is structurally required, not merely observed. Wolfram’s (2002) Principle of Computational Equivalence remains an independent grounding in a weaker sense. PCE is a universality-class claim (above a low complexity threshold, systems are computationally complete) rather than a fixed-point theorem; the undecidability results that attach to Turing-complete systems (the halting problem, Rice 1953) are themselves Lawvere instances, but PCE itself asserts the pervasiveness of systems to which those Lawvere instances apply rather than being such an instance directly. The Cantor-Gödel-Wolfram triple is more precisely described as two direct instances of Lawvere’s theorem plus one universality claim whose consequences include Lawvere instances.</w:t>
      </w:r>
      <w:r>
        <w:t xml:space="preserve"> </w:t>
      </w:r>
      <w:r>
        <w:rPr>
          <w:rStyle w:val="VerbatimChar"/>
        </w:rPr>
        <w:t xml:space="preserve">[REVIEW: category theorist]</w:t>
      </w:r>
      <w:r>
        <w:t xml:space="preserve"> </w:t>
      </w:r>
      <w:r>
        <w:t xml:space="preserve">Substantive reformulation of § 2; specialist validation required for (a) the Cantor-Gödel-as-Lawvere-instances identification, (b) the distinction of Wolfram’s PCE from Lawvere instances, and (c) the further claim in § 2.1 below. Validation hook:</w:t>
      </w:r>
      <w:r>
        <w:t xml:space="preserve"> </w:t>
      </w:r>
      <w:r>
        <w:rPr>
          <w:rStyle w:val="VerbatimChar"/>
        </w:rPr>
        <w:t xml:space="preserve">validation/claims/lawvere-unification-of-formal-groundings.md</w:t>
      </w:r>
      <w:r>
        <w:t xml:space="preserve">.</w:t>
      </w:r>
    </w:p>
    <w:bookmarkStart w:id="12" w:name="extension-to-domains-of-practice"/>
    <w:p>
      <w:pPr>
        <w:pStyle w:val="Heading3"/>
      </w:pPr>
      <w:r>
        <w:t xml:space="preserve">2.1 Extension to Domains of Practice</w:t>
      </w:r>
    </w:p>
    <w:p>
      <w:pPr>
        <w:pStyle w:val="FirstParagraph"/>
      </w:pPr>
      <w:r>
        <w:t xml:space="preserve">FalseWork proposes that the Incompleteness Condition extends beyond formal systems to all domains of sustained human practice organized around a minimal generative operation. This extension is a hypothesis rather than a proof — it generalizes results from formal systems and computation and is treated here as a claim to be tested across domains rather than a theorem derived from first principles.</w:t>
      </w:r>
    </w:p>
    <w:p>
      <w:pPr>
        <w:pStyle w:val="BodyText"/>
      </w:pPr>
      <w:r>
        <w:t xml:space="preserve">The extension claim rests on a structural observation: domains of sustained human practice that generate complexity exhibit the same three properties that produce incompleteness in formal systems. A sufficiently generative domain operation (G) applied iteratively to its own outputs (R) generates constructs whose resolution requires full traversal of the generative process rather than analytical shortcut (C). When G ∧ R ∧ C is satisfied in a domain of practice, the Incompleteness Condition follows — not as a formal proof but as a structural consequence of the same relationship between generative power and formal completeness that Gödel demonstrated for arithmetic. A note on formalism: G, R, and C are precisely defined predicates in the Gödel and Wolfram cases. In the extension to practice domains they are structural analogs — the notation is borrowed, not inherited. The argument is that the structural relationship between generative power and formal completeness holds in practice domains for the same reason it holds in formal systems, not that the extension is a theorem derivable from Gödel’s or Wolfram’s results.</w:t>
      </w:r>
    </w:p>
    <w:p>
      <w:pPr>
        <w:pStyle w:val="BodyText"/>
      </w:pPr>
      <w:r>
        <w:rPr>
          <w:b/>
          <w:bCs/>
        </w:rPr>
        <w:t xml:space="preserve">G ∧ R ∧ C as a domain-facing analog of Lawvere’s hypothesis.</w:t>
      </w:r>
      <w:r>
        <w:t xml:space="preserve"> </w:t>
      </w:r>
      <w:r>
        <w:t xml:space="preserve">The Lawvere reframing of § 2 permits a more precise statement of the extension-to-practice problem. G ∧ R ∧ C is a domain-facing analog of Lawvere’s categorical hypothesis: G (generative sufficiency) corresponds to the existence of the function space B^A as an object in the ambient category, R (self-reference) corresponds to the point-surjective map A → B^A, and C (compositional closure) corresponds to cartesian closure. For formal systems and Turing-complete computational systems the ambient category and the relevant maps are well-specified, and the Incompleteness Condition follows as a consequence of Lawvere’s theorem. For domains of practice the correspondence remains a structural analogy: the ambient category is not yet specified across all six kernels. Brink (2026c) undertakes this specification for the music kernel —</w:t>
      </w:r>
      <w:r>
        <w:t xml:space="preserve"> </w:t>
      </w:r>
      <w:r>
        <w:rPr>
          <w:rStyle w:val="VerbatimChar"/>
        </w:rPr>
        <w:t xml:space="preserve">FinSub(ℝ/ℤ)</w:t>
      </w:r>
      <w:r>
        <w:t xml:space="preserve"> </w:t>
      </w:r>
      <w:r>
        <w:t xml:space="preserve">as the ambient category,</w:t>
      </w:r>
      <w:r>
        <w:t xml:space="preserve"> </w:t>
      </w:r>
      <w:r>
        <w:rPr>
          <w:rStyle w:val="VerbatimChar"/>
        </w:rPr>
        <w:t xml:space="preserve">D(X) = X ∪ (X + α)</w:t>
      </w:r>
      <w:r>
        <w:t xml:space="preserve"> </w:t>
      </w:r>
      <w:r>
        <w:t xml:space="preserve">as the endofunctor of interest — where Lambek’s lemma (the initial-algebra theorem sitting adjacent to Lawvere’s fixed-point theorem in the same categorical neighborhood) does the work of locating the comma as the absence of a terminal coalgebra. The analogous categorical specification for the cinema, architecture, literature, software, and physics kernels is open research. Reframed through Lawvere, the extension question is no longer</w:t>
      </w:r>
      <w:r>
        <w:t xml:space="preserve"> </w:t>
      </w:r>
      <w:r>
        <w:t xml:space="preserve">“does G ∧ R ∧ C hold analogously in practice domains?”</w:t>
      </w:r>
      <w:r>
        <w:t xml:space="preserve"> </w:t>
      </w:r>
      <w:r>
        <w:t xml:space="preserve">but</w:t>
      </w:r>
      <w:r>
        <w:t xml:space="preserve"> </w:t>
      </w:r>
      <w:r>
        <w:t xml:space="preserve">“in what cartesian closed category does each kernel live, and what is the endofunctor whose lack of fixed point produces the domain’s comma?”</w:t>
      </w:r>
      <w:r>
        <w:t xml:space="preserve"> </w:t>
      </w:r>
      <w:r>
        <w:t xml:space="preserve">This is a stronger and more tractable question than its predecessor.</w:t>
      </w:r>
      <w:r>
        <w:t xml:space="preserve"> </w:t>
      </w:r>
      <w:r>
        <w:rPr>
          <w:rStyle w:val="VerbatimChar"/>
        </w:rPr>
        <w:t xml:space="preserve">[REVIEW: category theorist]</w:t>
      </w:r>
      <w:r>
        <w:t xml:space="preserve"> </w:t>
      </w:r>
      <w:r>
        <w:t xml:space="preserve">Speculative reformulation of § 2.1’s open problem; specialist validation required. Validation hook:</w:t>
      </w:r>
      <w:r>
        <w:t xml:space="preserve"> </w:t>
      </w:r>
      <w:r>
        <w:rPr>
          <w:rStyle w:val="VerbatimChar"/>
        </w:rPr>
        <w:t xml:space="preserve">validation/claims/lawvere-unification-of-formal-groundings.md</w:t>
      </w:r>
      <w:r>
        <w:t xml:space="preserve">.</w:t>
      </w:r>
    </w:p>
    <w:p>
      <w:pPr>
        <w:pStyle w:val="BodyText"/>
      </w:pPr>
      <w:r>
        <w:t xml:space="preserve">The domain-specific instantiation of the Incompleteness Condition is the kernel — the minimal self-limiting generative operation that organizes the domain and generates, at its own limit, a construct it cannot resolve from within its own rules. The following section defines the kernel precisely and identifies six instantiations across six domains.</w:t>
      </w:r>
    </w:p>
    <w:bookmarkEnd w:id="12"/>
    <w:bookmarkEnd w:id="13"/>
    <w:bookmarkStart w:id="19" w:name="kernels-and-commas"/>
    <w:p>
      <w:pPr>
        <w:pStyle w:val="Heading2"/>
      </w:pPr>
      <w:r>
        <w:t xml:space="preserve">3. Kernels and Commas</w:t>
      </w:r>
    </w:p>
    <w:p>
      <w:pPr>
        <w:pStyle w:val="FirstParagraph"/>
      </w:pPr>
      <w:r>
        <w:t xml:space="preserve">The kernel concept and the five-position topology that follows are conditional on the extension proposed in Section 2.1. If the extension fails — if domains of practice do not satisfy G ∧ R ∧ C — the topology fails with it. The framework treats the extension as testable through classification performance across domains rather than provable from first principles. Everything in this section and beyond is downstream of that conditional.</w:t>
      </w:r>
    </w:p>
    <w:p>
      <w:pPr>
        <w:pStyle w:val="BodyText"/>
      </w:pPr>
      <w:r>
        <w:t xml:space="preserve">A kernel is the minimal self-limiting generative operation of a domain. Four criteria define a kernel jointly; all four must be satisfied for a candidate operation to qualify.</w:t>
      </w:r>
    </w:p>
    <w:p>
      <w:pPr>
        <w:pStyle w:val="BodyText"/>
      </w:pPr>
      <w:r>
        <w:rPr>
          <w:b/>
          <w:bCs/>
        </w:rPr>
        <w:t xml:space="preserve">Prior.</w:t>
      </w:r>
      <w:r>
        <w:t xml:space="preserve"> </w:t>
      </w:r>
      <w:r>
        <w:t xml:space="preserve">The kernel exists as a structural possibility before any practitioner’s choices. It is not invented by practitioners — it precedes individual works within the domain. The 3:2 frequency ratio is a physical property of vibrating bodies derivable from the harmonic series before any compositional decision. The cut exists as a structural possibility the moment two separate recordings can be placed in sequence — Méliès and Porter did not invent the cut; they discovered it as the condition their medium imposed. Gravity operates on mass before any building is conceived. A kernel candidate fails the prior criterion if its existence depends on practitioners having chosen to use it.</w:t>
      </w:r>
    </w:p>
    <w:p>
      <w:pPr>
        <w:pStyle w:val="BodyText"/>
      </w:pPr>
      <w:r>
        <w:rPr>
          <w:b/>
          <w:bCs/>
        </w:rPr>
        <w:t xml:space="preserve">Monogenic.</w:t>
      </w:r>
      <w:r>
        <w:t xml:space="preserve"> </w:t>
      </w:r>
      <w:r>
        <w:t xml:space="preserve">The entire field of structural possibility in the domain is generated by compositions and navigations of the kernel. This criterion applies to the structural field the kernel governs, not to every property of the domain. Stacking the single operation of multiplying a frequency by 3/2 and reducing to the octave generates all twelve chromatic pitch classes — one ratio produces the entire pitch universe. One operation — placing shot A adjacent to shot B — generates the entire field of cinematic syntax: match cut, jump cut, cross-cutting, montage sequence, shot/reverse-shot, parallel editing. A single force — gravitational pull on mass — generates the entire field of structural possibility: column, beam, arch, vault, dome, cantilever, truss, cable, shell, membrane. Light, sound, thermal behavior, and material texture are properties of their respective domains but not structural generators in the relevant sense: they do not produce the field of positions relative to the kernel’s comma. A kernel candidate fails the monogenic criterion if a second independent operation is required to generate the structural field the kernel is claimed to govern.</w:t>
      </w:r>
    </w:p>
    <w:p>
      <w:pPr>
        <w:pStyle w:val="BodyText"/>
      </w:pPr>
      <w:r>
        <w:rPr>
          <w:b/>
          <w:bCs/>
        </w:rPr>
        <w:t xml:space="preserve">Inescapable.</w:t>
      </w:r>
      <w:r>
        <w:t xml:space="preserve"> </w:t>
      </w:r>
      <w:r>
        <w:t xml:space="preserve">No non-trivial instance of the domain can be created without encountering the kernel. Paradigms that appear to eliminate the kernel implement it through other means — the kernel is concealed, not absent. Composers who avoid dominant-tonic relationships navigate the fifth by negating it; the negation is meaningful only because the fifth is the gravitational field being refused. Long-take filmmakers (Tarr, Sokurov) define their practice against the cut — the decision not to cut is structurally significant only because cutting is the expected condition the decision refuses. Architects who appear to defy gravity (Hadid’s cantilevers, Eisenman’s inverted columns) resolve load through concealed structural members — the kernel operates invisibly. A kernel candidate fails the inescapability criterion if a non-trivial instance of the domain can be constructed that genuinely does not encounter it.</w:t>
      </w:r>
    </w:p>
    <w:p>
      <w:pPr>
        <w:pStyle w:val="BodyText"/>
      </w:pPr>
      <w:r>
        <w:rPr>
          <w:b/>
          <w:bCs/>
        </w:rPr>
        <w:t xml:space="preserve">Self-limiting.</w:t>
      </w:r>
      <w:r>
        <w:t xml:space="preserve"> </w:t>
      </w:r>
      <w:r>
        <w:t xml:space="preserve">Following the kernel’s own generative logic to its limit produces an incommensurability — the comma — that the kernel cannot resolve from within its own rules. The operation generates the question and is incomplete enough to be unable to answer it. This criterion distinguishes a kernel from a merely generative operation: a kernel is generative precisely because it is incomplete.</w:t>
      </w:r>
    </w:p>
    <w:bookmarkStart w:id="14" w:name="the-comma"/>
    <w:p>
      <w:pPr>
        <w:pStyle w:val="Heading3"/>
      </w:pPr>
      <w:r>
        <w:t xml:space="preserve">3.1 The Comma</w:t>
      </w:r>
    </w:p>
    <w:p>
      <w:pPr>
        <w:pStyle w:val="FirstParagraph"/>
      </w:pPr>
      <w:r>
        <w:t xml:space="preserve">The comma — FalseWork’s term for the irresolvable gap the kernel generates at its own boundary — takes its name from the Pythagorean comma: the 23.46-cent discrepancy (frequency ratio 531441/524288) produced when twelve successive perfect fifths fail to return to the origin pitch. The fifth follows its own arithmetic to its limit and finds it does not close. The gap is structurally necessary, mathematically precise, and irresolvable within the fifth’s own logic.</w:t>
      </w:r>
    </w:p>
    <w:p>
      <w:pPr>
        <w:pStyle w:val="BodyText"/>
      </w:pPr>
      <w:r>
        <w:t xml:space="preserve">Three properties distinguish the comma from adjacent concepts:</w:t>
      </w:r>
    </w:p>
    <w:p>
      <w:pPr>
        <w:pStyle w:val="BodyText"/>
      </w:pPr>
      <w:r>
        <w:rPr>
          <w:b/>
          <w:bCs/>
        </w:rPr>
        <w:t xml:space="preserve">Structural necessity.</w:t>
      </w:r>
      <w:r>
        <w:t xml:space="preserve"> </w:t>
      </w:r>
      <w:r>
        <w:t xml:space="preserve">The comma is produced by the kernel’s own logic, not by external constraint or historical accident. It would appear in any domain organized around the same kernel regardless of cultural context or historical period.</w:t>
      </w:r>
    </w:p>
    <w:p>
      <w:pPr>
        <w:pStyle w:val="BodyText"/>
      </w:pPr>
      <w:r>
        <w:rPr>
          <w:b/>
          <w:bCs/>
        </w:rPr>
        <w:t xml:space="preserve">Formal precision.</w:t>
      </w:r>
      <w:r>
        <w:t xml:space="preserve"> </w:t>
      </w:r>
      <w:r>
        <w:t xml:space="preserve">The comma is not a vague difficulty or general tension. It is a specific, measurable incommensurability with a precise location in the kernel’s generative field. The Pythagorean comma is 531441/524288. Rice’s theorem is a formal proof that no non-trivial semantic property of programs is decidable — the software comma has a formal address. The measurement problem in quantum mechanics is formally identifiable as the gap between the Schrödinger equation’s deterministic evolution and measurement’s discontinuous probabilistic outcome, though its characterization has no consensus interpretation.</w:t>
      </w:r>
    </w:p>
    <w:p>
      <w:pPr>
        <w:pStyle w:val="BodyText"/>
      </w:pPr>
      <w:r>
        <w:rPr>
          <w:b/>
          <w:bCs/>
        </w:rPr>
        <w:t xml:space="preserve">Irresolvability.</w:t>
      </w:r>
      <w:r>
        <w:t xml:space="preserve"> </w:t>
      </w:r>
      <w:r>
        <w:t xml:space="preserve">The comma cannot be eliminated from within the domain’s own rules. It can be managed, distributed, exploited, or refused — but not resolved. Equal temperament does not eliminate the Pythagorean comma — it spreads it uniformly across all twelve keys so no single key bears the full discrepancy. The structural comma remains: the topology of the harmonic space — diatonic, symmetric, chromatic fields and their boundaries — is the residue of that distributed irresolution. A different temperament would produce a different topology. The comma’s management strategy determines the shape of the field practitioners navigate.</w:t>
      </w:r>
    </w:p>
    <w:bookmarkEnd w:id="14"/>
    <w:bookmarkStart w:id="15" w:name="six-kernels"/>
    <w:p>
      <w:pPr>
        <w:pStyle w:val="Heading3"/>
      </w:pPr>
      <w:r>
        <w:t xml:space="preserve">3.2 Six Kernels</w:t>
      </w:r>
    </w:p>
    <w:p>
      <w:pPr>
        <w:pStyle w:val="FirstParagraph"/>
      </w:pPr>
      <w:r>
        <w:t xml:space="preserve">FalseWork has identified six kernels across six domains. These six exist along a validation gradient. At the strongest end, The Fifth (music) has independent geometric corroboration from Tymoczko’s voice-leading framework, which maps FalseWork’s three-way Coltrane discrimination onto three distinct regions of scale-space without reference to FalseWork’s classifications. The Cut (cinema) has three of four kernel criteria independently confirmed by Cutting, who used his own parallel term</w:t>
      </w:r>
      <w:r>
        <w:t xml:space="preserve"> </w:t>
      </w:r>
      <w:r>
        <w:t xml:space="preserve">“primitive”</w:t>
      </w:r>
      <w:r>
        <w:t xml:space="preserve"> </w:t>
      </w:r>
      <w:r>
        <w:t xml:space="preserve">for the kernel concept; the comma formulation remains a hypothesis. At the provisional end, Gravity (architecture), Syntax (literature), and The Conditional Branch (software) satisfy the four kernel criteria by theoretical argument but lack domain expert correspondence comparable to Tymoczko or Cutting. The software kernel is the weakest of the six — its kernel candidate has an acknowledged alternative (lambda calculus generates computational universality without explicit branching). The Wave Function (physics) is uniquely positioned: it has the framework’s only formally proven comma (spectral gap undecidability, Cubitt et al. 2015) alongside a second comma whose characterization remains philosophically contested (the measurement problem). It is the only domain with both a resolved and a contested comma simultaneously.</w:t>
      </w:r>
    </w:p>
    <w:p>
      <w:pPr>
        <w:pStyle w:val="BodyText"/>
      </w:pPr>
      <w:r>
        <w:rPr>
          <w:b/>
          <w:bCs/>
        </w:rPr>
        <w:t xml:space="preserve">The Fifth (tonal music).</w:t>
      </w:r>
      <w:r>
        <w:t xml:space="preserve"> </w:t>
      </w:r>
      <w:r>
        <w:t xml:space="preserve">The 3:2 frequency ratio between two tones — the simplest non-octave consonance, derived from the second and third harmonics of any vibrating body. Comma: the Pythagorean comma (531441/524288 ≈ 23.46 cents). Geometric grounding: Tymoczko’s voice-leading space (2011) provides the mathematical description of the field topology the comma generates — diatonic, symmetric, and chromatic scale regions as distinct areas with different geometric properties. Tymoczko’s forthcoming formalization of loops and commas in voice-leading spaces (Tymoczko, forthcoming) will provide the mathematical grounding for the relationship between the structural comma and the field topology it generates. Tymoczko confirmed through direct correspondence that the three Coltrane works map onto three distinct fields in his scale-space geometry —</w:t>
      </w:r>
      <w:r>
        <w:t xml:space="preserve"> </w:t>
      </w:r>
      <w:r>
        <w:rPr>
          <w:i/>
          <w:iCs/>
        </w:rPr>
        <w:t xml:space="preserve">A Love Supreme</w:t>
      </w:r>
      <w:r>
        <w:t xml:space="preserve"> </w:t>
      </w:r>
      <w:r>
        <w:t xml:space="preserve">in the diatonic/fifths world,</w:t>
      </w:r>
      <w:r>
        <w:t xml:space="preserve"> </w:t>
      </w:r>
      <w:r>
        <w:rPr>
          <w:i/>
          <w:iCs/>
        </w:rPr>
        <w:t xml:space="preserve">Giant Steps</w:t>
      </w:r>
      <w:r>
        <w:t xml:space="preserve"> </w:t>
      </w:r>
      <w:r>
        <w:t xml:space="preserve">in the symmetric/quasi-symmetric world, and Coltrane’s late period in the chromatic world — independently corroborating FalseWork’s three-way structural discrimination (Tymoczko, personal correspondence, 2026). Tymoczko also noted that</w:t>
      </w:r>
      <w:r>
        <w:t xml:space="preserve"> </w:t>
      </w:r>
      <w:r>
        <w:rPr>
          <w:i/>
          <w:iCs/>
        </w:rPr>
        <w:t xml:space="preserve">Giant Steps</w:t>
      </w:r>
      <w:r>
        <w:t xml:space="preserve"> </w:t>
      </w:r>
      <w:r>
        <w:t xml:space="preserve">should be interpreted in terms of the collapsing major-third cycle rather than the circle of fifths, refining the exploitation target. The comma claim — that the Pythagorean comma remains structurally operative as a field-level condition for practitioners working in fixed temperament — was not confirmed; Tymoczko expressed skepticism, noting that in fixed temperament tuning issues disappear. The structural comma as a field-level concept rather than a tuning challenge is the framework’s position, treated here as a hypothesis.</w:t>
      </w:r>
    </w:p>
    <w:p>
      <w:pPr>
        <w:pStyle w:val="BodyText"/>
      </w:pPr>
      <w:r>
        <w:rPr>
          <w:b/>
          <w:bCs/>
        </w:rPr>
        <w:t xml:space="preserve">The Cut (cinema).</w:t>
      </w:r>
      <w:r>
        <w:t xml:space="preserve"> </w:t>
      </w:r>
      <w:r>
        <w:t xml:space="preserve">The boundary between shot A and shot B — temporal and spatial discontinuity that generates meaning through juxtaposition. Comma: spatial coherence and attentional-rhythmic control cannot both be fully optimized across cuts. Every editing tradition is a management strategy for that incommensurability. Empirical grounding: Cutting’s four cinematic forms taxonomy (forthcoming) provides empirical grounding for the kernel criteria — scenes, montages, syntagmas, and strands are the management strategies practitioners empirically discovered before theorizing why they worked. Cutting confirmed through direct correspondence that the cut is prior, monogenic, and inescapable — using his own parallel term</w:t>
      </w:r>
      <w:r>
        <w:t xml:space="preserve"> </w:t>
      </w:r>
      <w:r>
        <w:t xml:space="preserve">“primitive”</w:t>
      </w:r>
      <w:r>
        <w:t xml:space="preserve"> </w:t>
      </w:r>
      <w:r>
        <w:t xml:space="preserve">for the kernel concept (Cutting, personal correspondence, 2026). The comma formulation — specifically the claim that spatial coherence and attentional-rhythmic control cannot both be fully optimized across cuts — was not confirmed; Cutting noted the cinema case</w:t>
      </w:r>
      <w:r>
        <w:t xml:space="preserve"> </w:t>
      </w:r>
      <w:r>
        <w:t xml:space="preserve">“seems still inchoate”</w:t>
      </w:r>
      <w:r>
        <w:t xml:space="preserve"> </w:t>
      </w:r>
      <w:r>
        <w:t xml:space="preserve">and expressed uncertainty about the incompleteness framing. The comma formulation is treated here as a hypothesis pending the empirical test described in section 4.4.</w:t>
      </w:r>
    </w:p>
    <w:p>
      <w:pPr>
        <w:pStyle w:val="BodyText"/>
      </w:pPr>
      <w:r>
        <w:rPr>
          <w:b/>
          <w:bCs/>
        </w:rPr>
        <w:t xml:space="preserve">Gravity (architecture).</w:t>
      </w:r>
      <w:r>
        <w:t xml:space="preserve"> </w:t>
      </w:r>
      <w:r>
        <w:t xml:space="preserve">Gravitational acceleration (9.81 m/s²) acting on mass — every material element must resolve its weight through a continuous load path to ground. Comma: span and depth are structurally coupled and cannot both be maximized. Increasing span requires increasing depth; increasing depth consumes the space the span was meant to create. Maximum open volume and minimum structure cannot be simultaneously achieved. Field topology follows the home/hybrid/symmetric/outside invariant with methodological parallels to Tymoczko’s geometric approach.</w:t>
      </w:r>
    </w:p>
    <w:p>
      <w:pPr>
        <w:pStyle w:val="BodyText"/>
      </w:pPr>
      <w:r>
        <w:rPr>
          <w:b/>
          <w:bCs/>
        </w:rPr>
        <w:t xml:space="preserve">Syntax (literature).</w:t>
      </w:r>
      <w:r>
        <w:t xml:space="preserve"> </w:t>
      </w:r>
      <w:r>
        <w:t xml:space="preserve">Recursive phrase structure — the embedding of clauses within clauses according to grammatical rules, generating unbounded meaning from finite combinatorial operations. Comma: recursive depth and cognitive tractability are structurally coupled and cannot both be maximized. Natural language grammar permits unbounded recursion; human working memory does not. Every literary tradition is a management strategy for that incommensurability. The proxy feature program’s first results across twelve works suggest the comma may operate through two distinguishable violation modes: elaborative complexity, in which recursive depth is extended through accumulation until tractability collapses (Proust’s periodic syntax as the limiting case), and operative disruption, in which the syntactic operation itself is negated rather than extended (Kafka’s agrammatical prose as the limiting case). Both are responses to the same structural coupling between depth and tractability, but they approach the limit from different directions — elaborative complexity through maximum fidelity to the operation’s own generative logic, operative disruption through systematic negation of it. This maps onto the Commitment/Refusal distinction at the level of the comma’s internal geometry. Whether these are two expressions of the same comma or two structurally distinct commas is an open question the proxy program is designed to test.</w:t>
      </w:r>
    </w:p>
    <w:p>
      <w:pPr>
        <w:pStyle w:val="BodyText"/>
      </w:pPr>
      <w:r>
        <w:rPr>
          <w:b/>
          <w:bCs/>
        </w:rPr>
        <w:t xml:space="preserve">The Conditional Branch (software).</w:t>
      </w:r>
      <w:r>
        <w:t xml:space="preserve"> </w:t>
      </w:r>
      <w:r>
        <w:t xml:space="preserve">The if/then/else operation — the minimal operation that converts a single execution path into the entire field of computational possibility. Comma: a program cannot simultaneously be maximally deterministic and maximally general. Rice’s theorem establishes that no non-trivial semantic property of programs is decidable. The halting problem is the comma’s formal statement. Evaluated at the level of implemented systems and software practice rather than formal computation theory. Note: this kernel has an acknowledged alternative candidate. Lambda calculus achieves Turing completeness without explicit branching — Church encoding represents conditionals as higher-order functions, not as primitive operations. Whether the conditional branch is the kernel itself or the most common surface instantiation of a deeper generative operation is an open question requiring theoretical computer science validation.</w:t>
      </w:r>
    </w:p>
    <w:p>
      <w:pPr>
        <w:pStyle w:val="BodyText"/>
      </w:pPr>
      <w:r>
        <w:rPr>
          <w:b/>
          <w:bCs/>
        </w:rPr>
        <w:t xml:space="preserve">The Wave Function (physics).</w:t>
      </w:r>
      <w:r>
        <w:t xml:space="preserve"> </w:t>
      </w:r>
      <w:r>
        <w:t xml:space="preserve">Superposition — the existence of a quantum system in a linear combination of eigenstates prior to measurement. The Wave Function kernel has two distinct commas operating at different levels. The spectral gap problem — whether certain quantum many-body systems have a finite energy gap between ground and excited states in the thermodynamic limit — has been formally proven undecidable (Cubitt, Perez-Garcia &amp; Wolf 2015). This is a proven comma in the Gödel sense: no algorithm can determine spectral gap status for the general class of quantum systems. The measurement problem — the gap between the Schrödinger equation’s deterministic evolution and measurement’s discontinuous probabilistic outcome — remains contested: every interpretation of quantum mechanics is a competing characterization of the same irresolvable gap, and no consensus has been reached since 1927. The succession of quantum interpretations — Copenhagen, Many-Worlds, pilot wave, decoherence, relational quantum mechanics, objective collapse — is the contested comma generating new management strategies indefinitely. The physics kernel is unique in the framework: the only domain with both a proven formal comma and a contested philosophical comma simultaneously.</w:t>
      </w:r>
    </w:p>
    <w:bookmarkEnd w:id="15"/>
    <w:bookmarkStart w:id="16" w:name="falsifiability-conditions"/>
    <w:p>
      <w:pPr>
        <w:pStyle w:val="Heading3"/>
      </w:pPr>
      <w:r>
        <w:t xml:space="preserve">3.3 Falsifiability Conditions</w:t>
      </w:r>
    </w:p>
    <w:p>
      <w:pPr>
        <w:pStyle w:val="FirstParagraph"/>
      </w:pPr>
      <w:r>
        <w:t xml:space="preserve">A kernel claim is falsifiable on two conditions. First: if a non-trivial instance of the domain can be constructed that does not encounter the proposed comma, the kernel definition is wrong. Second: if a different minimal operation generates the same field of possibility with a different comma, the proposed kernel is not minimal. The music kernel has survived both tests — no tonal system avoids the Pythagorean comma, and no simpler operation than the fifth generates the full field of tonal possibility. The other five kernels are held to the same standard. Where the test has not been run, the kernel claim is provisional.</w:t>
      </w:r>
    </w:p>
    <w:p>
      <w:pPr>
        <w:pStyle w:val="BodyText"/>
      </w:pPr>
      <w:r>
        <w:t xml:space="preserve">A note on the structure of falsification. The conditions specified above operate at the structural-topology level — they identify what would count as evidence against the kernel’s definition or the topology’s exhaustiveness. Individual classification failures at the work-level are treated differently: the framework’s default reading of a classification failure is that it identifies kernel misspecification (a call to refine the kernel’s definition) rather than topology failure (a call to abandon the five-position claim). This configuration is Lakatos-progressive in character: the hard core of the framework (the kernel/comma topology and the five positions) is preserved through refinements to the protective belt (specific kernel definitions and their boundaries) rather than abandoned on individual anomalies. Whether this configuration is productive — whether the refinements generate novel successful predictions, in Lakatos’s sense — or immunizing — whether they insulate the framework against evidence that should count against it — is an empirical question about the framework’s actual track record across domains. The paper states the topology-level falsification conditions explicitly and leaves the productive/immunizing question open to evaluation as the empirical record develops.</w:t>
      </w:r>
    </w:p>
    <w:bookmarkEnd w:id="16"/>
    <w:bookmarkStart w:id="17" w:name="derivation-of-the-five-positions"/>
    <w:p>
      <w:pPr>
        <w:pStyle w:val="Heading3"/>
      </w:pPr>
      <w:r>
        <w:t xml:space="preserve">3.4 Derivation of the Five Positions</w:t>
      </w:r>
    </w:p>
    <w:p>
      <w:pPr>
        <w:pStyle w:val="FirstParagraph"/>
      </w:pPr>
      <w:r>
        <w:t xml:space="preserve">Given a kernel K with a comma L — the specific irresolvable gap K generates at its own boundary — what are the structurally distinct positions a practitioner can occupy relative to L? Not stylistic positions. Not historical positions. Structural positions: how many fundamentally distinct relationships with a ceiling that cannot be broken through?</w:t>
      </w:r>
    </w:p>
    <w:p>
      <w:pPr>
        <w:pStyle w:val="BodyText"/>
      </w:pPr>
      <w:r>
        <w:t xml:space="preserve">The derivation follows from a structured decision tree — one binary distinction followed by a partition of the encounter branch into three structural targets, with one target requiring a further binary distinction.</w:t>
      </w:r>
    </w:p>
    <w:p>
      <w:pPr>
        <w:pStyle w:val="BodyText"/>
      </w:pPr>
      <w:r>
        <w:rPr>
          <w:b/>
          <w:bCs/>
        </w:rPr>
        <w:t xml:space="preserve">First distinction: encounter or non-encounter.</w:t>
      </w:r>
    </w:p>
    <w:p>
      <w:pPr>
        <w:pStyle w:val="BodyText"/>
      </w:pPr>
      <w:r>
        <w:t xml:space="preserve">A practitioner either operates within the kernel’s reducible range — the scope of practice where K’s logic is fully deterministic and L is never directly reached — or operates at a scope where L is encountered. This distinction is binary and exhaustive. Every structural position is on one side of it.</w:t>
      </w:r>
    </w:p>
    <w:p>
      <w:pPr>
        <w:pStyle w:val="BodyText"/>
      </w:pPr>
      <w:r>
        <w:t xml:space="preserve">The non-encounter side is complete in itself. If L is never reached, the practitioner’s structural relationship with K is fully described: the kernel operates as invisible substrate, the comma is structurally present but never directly engaged, and the work stays within the range where K’s logic produces determinate outcomes. This is one position. It requires no further distinction because the limit plays no role in the work’s structural logic.</w:t>
      </w:r>
    </w:p>
    <w:p>
      <w:pPr>
        <w:pStyle w:val="BodyText"/>
      </w:pPr>
      <w:r>
        <w:t xml:space="preserve">This is Infrastructure.</w:t>
      </w:r>
    </w:p>
    <w:p>
      <w:pPr>
        <w:pStyle w:val="BodyText"/>
      </w:pPr>
      <w:r>
        <w:t xml:space="preserve">The encounter side requires further analysis. Reaching L is not itself a structural position — it is a condition that admits multiple distinct responses. Two further binary distinctions identify them.</w:t>
      </w:r>
    </w:p>
    <w:p>
      <w:pPr>
        <w:pStyle w:val="BodyText"/>
      </w:pPr>
      <w:r>
        <w:rPr>
          <w:b/>
          <w:bCs/>
        </w:rPr>
        <w:t xml:space="preserve">Second distinction: what is the structural target of the encounter?</w:t>
      </w:r>
    </w:p>
    <w:p>
      <w:pPr>
        <w:pStyle w:val="BodyText"/>
      </w:pPr>
      <w:r>
        <w:t xml:space="preserve">Once L is encountered, a practitioner’s structural relationship is oriented toward one of three possible targets. The target space has three and only three components because position relative to a boundary admits exactly three spatial relations: the interior of the generative field, the specific structure at the boundary, and the boundary itself.</w:t>
      </w:r>
    </w:p>
    <w:p>
      <w:pPr>
        <w:pStyle w:val="BodyText"/>
      </w:pPr>
      <w:r>
        <w:t xml:space="preserve">The three targets are: the field (the general space generated by K), the geometry of L (the specific formal structure at the comma’s boundary), and L itself (the limit as boundary condition).</w:t>
      </w:r>
    </w:p>
    <w:p>
      <w:pPr>
        <w:pStyle w:val="BodyText"/>
      </w:pPr>
      <w:r>
        <w:t xml:space="preserve">If the target is the field: the comma’s tension is spread across the work so no single moment bears its full weight. The practitioner acknowledges L by managing its distribution rather than confronting it. This is Distribution.</w:t>
      </w:r>
    </w:p>
    <w:p>
      <w:pPr>
        <w:pStyle w:val="BodyText"/>
      </w:pPr>
      <w:r>
        <w:t xml:space="preserve">If the target is the geometry of L: the comma’s specific properties — the particular formal structure where K’s logic breaks down — are made generative. The incompleteness is the resource. This is Exploitation.</w:t>
      </w:r>
    </w:p>
    <w:p>
      <w:pPr>
        <w:pStyle w:val="BodyText"/>
      </w:pPr>
      <w:r>
        <w:t xml:space="preserve">If the target is L itself — the limit as boundary — a third distinction is required.</w:t>
      </w:r>
    </w:p>
    <w:p>
      <w:pPr>
        <w:pStyle w:val="BodyText"/>
      </w:pPr>
      <w:r>
        <w:rPr>
          <w:b/>
          <w:bCs/>
        </w:rPr>
        <w:t xml:space="preserve">Third distinction: direction of approach to L.</w:t>
      </w:r>
    </w:p>
    <w:p>
      <w:pPr>
        <w:pStyle w:val="BodyText"/>
      </w:pPr>
      <w:r>
        <w:t xml:space="preserve">Approaching the limit itself admits exactly two directions: with the kernel’s organizing logic, or against it.</w:t>
      </w:r>
    </w:p>
    <w:p>
      <w:pPr>
        <w:pStyle w:val="BodyText"/>
      </w:pPr>
      <w:r>
        <w:t xml:space="preserve">With K’s logic: the practitioner follows K’s own generative logic with total fidelity until the operation and its limit become identical. L is approached by pushing K to its furthest reach. This is Commitment.</w:t>
      </w:r>
    </w:p>
    <w:p>
      <w:pPr>
        <w:pStyle w:val="BodyText"/>
      </w:pPr>
      <w:r>
        <w:t xml:space="preserve">Against K’s logic: the practitioner negates K’s organizing logic systematically and makes that negation the structural content of the work. L is approached from outside K’s field entirely. This is Refusal.</w:t>
      </w:r>
    </w:p>
    <w:p>
      <w:pPr>
        <w:pStyle w:val="BodyText"/>
      </w:pPr>
      <w:r>
        <w:rPr>
          <w:b/>
          <w:bCs/>
        </w:rPr>
        <w:t xml:space="preserve">The complete derivation stated formally.</w:t>
      </w:r>
    </w:p>
    <w:p>
      <w:pPr>
        <w:pStyle w:val="BodyText"/>
      </w:pPr>
      <w:r>
        <w:t xml:space="preserve">Let K be a kernel, L be its comma, and P be a structural position. Then:</w:t>
      </w:r>
    </w:p>
    <w:p>
      <w:pPr>
        <w:pStyle w:val="BodyText"/>
      </w:pPr>
      <w:r>
        <w:t xml:space="preserve">P = Infrastructure if scope(P) &lt; L — practitioner operates below the comma threshold; limit never encountered.</w:t>
      </w:r>
    </w:p>
    <w:p>
      <w:pPr>
        <w:pStyle w:val="BodyText"/>
      </w:pPr>
      <w:r>
        <w:t xml:space="preserve">P = Distribution if scope(P) ≥ L ∧ target(P) = field — limit encountered; tension spread across the generative field.</w:t>
      </w:r>
    </w:p>
    <w:p>
      <w:pPr>
        <w:pStyle w:val="BodyText"/>
      </w:pPr>
      <w:r>
        <w:t xml:space="preserve">P = Exploitation if scope(P) ≥ L ∧ target(P) = geometry(L) — limit encountered; specific formal structure at the boundary made generative.</w:t>
      </w:r>
    </w:p>
    <w:p>
      <w:pPr>
        <w:pStyle w:val="BodyText"/>
      </w:pPr>
      <w:r>
        <w:t xml:space="preserve">P = Commitment if scope(P) → L ∧ target(P) = limit ∧ direction(P) = with(K) — limit approached through maximum fidelity to K’s own logic.</w:t>
      </w:r>
    </w:p>
    <w:p>
      <w:pPr>
        <w:pStyle w:val="BodyText"/>
      </w:pPr>
      <w:r>
        <w:t xml:space="preserve">P = Refusal if scope(P) → L ∧ target(P) = limit ∧ direction(P) = against(K) — limit approached through systematic negation of K’s organizing logic.</w:t>
      </w:r>
    </w:p>
    <w:p>
      <w:pPr>
        <w:pStyle w:val="BodyText"/>
      </w:pPr>
      <w:r>
        <w:rPr>
          <w:b/>
          <w:bCs/>
        </w:rPr>
        <w:t xml:space="preserve">Why the target space has exactly three components.</w:t>
      </w:r>
    </w:p>
    <w:p>
      <w:pPr>
        <w:pStyle w:val="BodyText"/>
      </w:pPr>
      <w:r>
        <w:t xml:space="preserve">The exhaustiveness claim rests on the partition of the target space. A practitioner who encounters L is oriented toward something — what? The possible targets are constrained by the structure of the situation: there is a generative field (the space K produces), there is a specific formal structure at the boundary (the geometry of L), and there is the boundary itself (L as limit). These correspond to the three and only three spatial relations to a boundary: interior, boundary structure, and boundary itself. Field is below the boundary. Geometry is at the boundary. Limit is the boundary. If this spatial argument holds — if position relative to a boundary admits exactly three relations — the exhaustiveness follows. If it does not hold, a fourth target would need to be identified that is not reducible to one of these three, and the five-position claim becomes empirical rather than derived. Two candidate fourth relations warrant explicit treatment. First: traversing the boundary — operating at the limit but neither with the kernel’s logic nor against it; moving along L rather than approaching it from either direction. This collapses into Exploitation. Moving along the boundary requires engaging its specific formal structure — the geometry of L — as the field of operation; that is precisely the structural definition of Exploitation. A practitioner cannot navigate the comma’s boundary without making its geometry the target. There is no position at the boundary that is not already oriented toward the geometry of L, or the limit approached with K’s logic, or the limit approached against it. Second: operating obliquely to K’s logic — neither extending it nor negating it but transforming it at the limit. This also collapses into Exploitation. Transforming the kernel’s logic at its limit means making the specific structure where K’s logic undergoes transformation — the geometry of L — generative. Transformation at the boundary is Exploitation under a different description. The with/against distinction at the limit is exhaustive because K’s logic defines a single generative axis: any structural relationship to K at the limit is either extending that axis (Commitment) or inverting it (Refusal). A transformation that is neither extension nor inversion is not a relationship to the limit itself — it is a relationship to the geometry at the boundary, which is already Exploitation.</w:t>
      </w:r>
    </w:p>
    <w:p>
      <w:pPr>
        <w:pStyle w:val="BodyText"/>
      </w:pPr>
      <w:r>
        <w:t xml:space="preserve">The formal test for exhaustiveness: any proposed sixth position either collapses into one of the five under analysis, or identifies a target in the encounter space not reducible to field, geometry(L), or limit, or identifies a direction of approach to the limit not reducible to with(K) or against(K). The two strongest candidates — traversal and oblique approach — both collapse into Exploitation under analysis, as shown above. No sixth position has been found that does not reduce. The framework proposes that the space is closed under the current derivation. Persistent classification failures would count as evidence against this closure.</w:t>
      </w:r>
    </w:p>
    <w:p>
      <w:pPr>
        <w:pStyle w:val="BodyText"/>
      </w:pPr>
      <w:r>
        <w:rPr>
          <w:b/>
          <w:bCs/>
        </w:rPr>
        <w:t xml:space="preserve">An ontological note on Commitment.</w:t>
      </w:r>
      <w:r>
        <w:t xml:space="preserve"> </w:t>
      </w:r>
      <w:r>
        <w:t xml:space="preserve">The derivation above assumes that structural position is a property recoverable at the level of individual works — that scope(P), target(P), and direction(P) can be assessed from the structural profile of a single work. The Commitment position stresses this assumption. The canonical example of Commitment — Bach’s</w:t>
      </w:r>
      <w:r>
        <w:t xml:space="preserve"> </w:t>
      </w:r>
      <w:r>
        <w:rPr>
          <w:i/>
          <w:iCs/>
        </w:rPr>
        <w:t xml:space="preserve">Art of Fugue</w:t>
      </w:r>
      <w:r>
        <w:t xml:space="preserve"> </w:t>
      </w:r>
      <w:r>
        <w:t xml:space="preserve">— requires corpus-level context to read as Commitment rather than Infrastructure (see Section 5.1). If Commitment turns out to be irreducibly corpus-level, while the other four positions are recoverable at work level, the five positions are not on the same ontological footing, and the derivation would need to be reformulated over a different target space — possibly one whose objects are practitioner-corpora rather than individual works. The framework holds open two responses: kernel refinement (redefine The Fifth’s conditions to make Commitment recoverable at work level) or topology extension (accept that structural position operates at two levels, work and corpus, and extend the derivation accordingly). Either response preserves the five positions; both require work the current framework has not yet completed. This is acknowledged as an open structural issue in Section 5.1 and should temper the confidence with which the derivation is read: it is a derivation over a target space whose level of analysis (work vs. corpus) has not been fully stabilized.</w:t>
      </w:r>
    </w:p>
    <w:p>
      <w:pPr>
        <w:pStyle w:val="BodyText"/>
      </w:pPr>
      <w:r>
        <w:t xml:space="preserve">These five cases are proposed as mutually exclusive and collectively exhaustive. The derivation is presented as complete under the current framework; its adequacy is evaluated through classification performance and resistance to counterexamples.</w:t>
      </w:r>
    </w:p>
    <w:bookmarkEnd w:id="17"/>
    <w:bookmarkStart w:id="18" w:name="what-the-derivation-establishes"/>
    <w:p>
      <w:pPr>
        <w:pStyle w:val="Heading3"/>
      </w:pPr>
      <w:r>
        <w:t xml:space="preserve">3.5 What the Derivation Establishes</w:t>
      </w:r>
    </w:p>
    <w:p>
      <w:pPr>
        <w:pStyle w:val="FirstParagraph"/>
      </w:pPr>
      <w:r>
        <w:t xml:space="preserve">Three things that the empirical observation of five positions across domains could not establish on its own.</w:t>
      </w:r>
    </w:p>
    <w:p>
      <w:pPr>
        <w:pStyle w:val="BodyText"/>
      </w:pPr>
      <w:r>
        <w:t xml:space="preserve">First, derivational grounding. The five positions are not a pattern extracted from observation — they follow from the logical structure of what positions are possible relative to a self-limiting generative operation. The derivation predicts the topology before the corpus confirms it.</w:t>
      </w:r>
    </w:p>
    <w:p>
      <w:pPr>
        <w:pStyle w:val="BodyText"/>
      </w:pPr>
      <w:r>
        <w:t xml:space="preserve">Second, proposed closure. No sixth position has been found that does not collapse into one of the five under analysis. A work that appears to occupy a new position is either occupying one of the five with unusual surface features, or the kernel definition is incorrect and needs revision. The derivation is the diagnostic tool: if classification consistently fails for a class of works, the kernel is wrong, not the topology.</w:t>
      </w:r>
    </w:p>
    <w:p>
      <w:pPr>
        <w:pStyle w:val="BodyText"/>
      </w:pPr>
      <w:r>
        <w:t xml:space="preserve">Third, cross-domain grounding. The reason the same five positions appear across music, cinema, architecture, literature, software, and physics is not shared historical influence or cultural context — it is that all six domains have kernels, and the derivation applies wherever a kernel exists. The convergence is structurally predicted, not merely observed. A note on the ontological status of the positions: Dennett’s (1991) account of real patterns is relevant here. A pattern is real, on Dennett’s account, if the most efficient description of the relevant phenomena requires invoking it — if describing what practitioners do relative to a self-limiting generative operation is more compact with the five positions than without them. The derivation establishes the positions as logical consequences; Dennett’s criterion establishes them as genuine features of the domain rather than imposed categories. Both arguments are needed: the derivation shows the positions are exhaustive, Dennett’s criterion shows they are not arbitrary.</w:t>
      </w:r>
    </w:p>
    <w:bookmarkEnd w:id="18"/>
    <w:bookmarkEnd w:id="19"/>
    <w:bookmarkStart w:id="24" w:name="empirical-demonstrations"/>
    <w:p>
      <w:pPr>
        <w:pStyle w:val="Heading2"/>
      </w:pPr>
      <w:r>
        <w:t xml:space="preserve">4. Empirical Demonstrations</w:t>
      </w:r>
    </w:p>
    <w:p>
      <w:pPr>
        <w:pStyle w:val="FirstParagraph"/>
      </w:pPr>
      <w:r>
        <w:t xml:space="preserve">The framework’s theoretical claims are grounded through four demonstrations. The first demonstrates independent corroboration of the three-way Coltrane discrimination and an exploitation target refinement. The second tests whether identical three-axis classifications can be meaningfully discriminated within a shared structural address. The third tests whether the cross-domain homology claim produces structurally meaningful comparisons across unrelated domains. The fourth tests whether the framework’s structural positions are recoverable from measurable formal properties without natural language reasoning as intermediary. For the cinema kernel specifically: Cutting’s correspondence provides strong empirical grounding for three of the four kernel criteria (prior, monogenic, inescapable) but does not confirm the comma formulation, which is treated as a hypothesis throughout this section.</w:t>
      </w:r>
    </w:p>
    <w:bookmarkStart w:id="20" w:name="X7db4473322de01942011b12ba02a49ec30aa470"/>
    <w:p>
      <w:pPr>
        <w:pStyle w:val="Heading3"/>
      </w:pPr>
      <w:r>
        <w:t xml:space="preserve">4.1 Independent Corroboration and Exploitation Target Refinement: Coltrane and the Music Kernel</w:t>
      </w:r>
    </w:p>
    <w:p>
      <w:pPr>
        <w:pStyle w:val="FirstParagraph"/>
      </w:pPr>
      <w:r>
        <w:t xml:space="preserve">The first demonstration concerns FalseWork’s three-way structural discrimination of Coltrane’s output and the classification of</w:t>
      </w:r>
      <w:r>
        <w:t xml:space="preserve"> </w:t>
      </w:r>
      <w:r>
        <w:rPr>
          <w:i/>
          <w:iCs/>
        </w:rPr>
        <w:t xml:space="preserve">Giant Steps</w:t>
      </w:r>
      <w:r>
        <w:t xml:space="preserve"> </w:t>
      </w:r>
      <w:r>
        <w:t xml:space="preserve">(1960) within the music kernel’s field topology. The initial FalseWork classification identified</w:t>
      </w:r>
      <w:r>
        <w:t xml:space="preserve"> </w:t>
      </w:r>
      <w:r>
        <w:rPr>
          <w:i/>
          <w:iCs/>
        </w:rPr>
        <w:t xml:space="preserve">Giant Steps</w:t>
      </w:r>
      <w:r>
        <w:t xml:space="preserve"> </w:t>
      </w:r>
      <w:r>
        <w:t xml:space="preserve">as an Exploitation work operating within the symmetric territory of Tymoczko’s voice-leading space — the territory generated by equal division of the octave, characterized by augmented triads and major-third cycles — while placing</w:t>
      </w:r>
      <w:r>
        <w:t xml:space="preserve"> </w:t>
      </w:r>
      <w:r>
        <w:rPr>
          <w:i/>
          <w:iCs/>
        </w:rPr>
        <w:t xml:space="preserve">A Love Supreme</w:t>
      </w:r>
      <w:r>
        <w:t xml:space="preserve"> </w:t>
      </w:r>
      <w:r>
        <w:t xml:space="preserve">in the diatonic territory and Coltrane’s late period in the chromatic territory.</w:t>
      </w:r>
    </w:p>
    <w:p>
      <w:pPr>
        <w:pStyle w:val="BodyText"/>
      </w:pPr>
      <w:r>
        <w:t xml:space="preserve">Correspondence with Dmitri Tymoczko (Princeton University) produced two results. First, independent corroboration of the three-way discrimination: without being asked to validate FalseWork’s classifications, Tymoczko described the same three works mapping onto the same three structural fields from his own geometric framework —</w:t>
      </w:r>
      <w:r>
        <w:t xml:space="preserve"> </w:t>
      </w:r>
      <w:r>
        <w:t xml:space="preserve">“diatonic (fifths;</w:t>
      </w:r>
      <w:r>
        <w:t xml:space="preserve"> </w:t>
      </w:r>
      <w:r>
        <w:rPr>
          <w:i/>
          <w:iCs/>
        </w:rPr>
        <w:t xml:space="preserve">A Love Supreme</w:t>
      </w:r>
      <w:r>
        <w:t xml:space="preserve">), chromatic (late period Coltrane), and symmetric or quasi-symmetric (</w:t>
      </w:r>
      <w:r>
        <w:rPr>
          <w:i/>
          <w:iCs/>
        </w:rPr>
        <w:t xml:space="preserve">Giant Steps</w:t>
      </w:r>
      <w:r>
        <w:t xml:space="preserve">)”</w:t>
      </w:r>
      <w:r>
        <w:t xml:space="preserve"> </w:t>
      </w:r>
      <w:r>
        <w:t xml:space="preserve">— noting that this tripartition organizes the entire history of twentieth-century music from Rimsky and Debussy onward (Tymoczko 2011; Tymoczko, personal correspondence, 2026). This convergence from two independent analytical systems is the strongest empirical grounding the music kernel has. Second, a refinement of the exploitation target: Tymoczko expressed surprise that</w:t>
      </w:r>
      <w:r>
        <w:t xml:space="preserve"> </w:t>
      </w:r>
      <w:r>
        <w:rPr>
          <w:i/>
          <w:iCs/>
        </w:rPr>
        <w:t xml:space="preserve">Giant Steps</w:t>
      </w:r>
      <w:r>
        <w:t xml:space="preserve"> </w:t>
      </w:r>
      <w:r>
        <w:t xml:space="preserve">was not being interpreted in terms of the collapsing major-third cycle, which refined the initial framing from the circle of fifths to the major-third cycle’s specific topological properties within the symmetric territory. The major-third cycle divides the octave into three equal parts, producing a self-contained harmonic loop — C, E, A♭ — that Coltrane traverses at a harmonic rhythm fast enough to destabilize any improviser operating within diatonic expectations.</w:t>
      </w:r>
    </w:p>
    <w:p>
      <w:pPr>
        <w:pStyle w:val="BodyText"/>
      </w:pPr>
      <w:r>
        <w:t xml:space="preserve">The corrected classification — Exploitation · hexatonic · SELF_CONSTRAINS × EXPOSED × EXPLOITS — is additionally consistent with Nardelli’s network analysis of generalized musical spaces (arXiv 1905.01842), which shows that at distance √2 in the voice-leading space, the network splits into components centered on augmented triads — the same structural feature identified as the exploitation target, arrived at through graph-theoretic analysis without reference to either Tymoczko’s geometry or FalseWork’s classification (Nardelli 2019). This is a literature-level consistency check rather than an independent validation of the kind the Tymoczko and Cutting exchanges represent; no correspondence with Nardelli has been conducted.</w:t>
      </w:r>
    </w:p>
    <w:p>
      <w:pPr>
        <w:pStyle w:val="BodyText"/>
      </w:pPr>
      <w:r>
        <w:t xml:space="preserve">Tymoczko also expressed skepticism about whether the Pythagorean comma remains operative as a structural condition for practitioners working in fixed temperament. The framework’s position — that the comma shapes the field topology as a structural condition regardless of whether individual practitioners navigate tuning — is treated as a hypothesis rather than a confirmed claim, and is the subject of the proxy feature program described in section 4.4.</w:t>
      </w:r>
    </w:p>
    <w:bookmarkEnd w:id="20"/>
    <w:bookmarkStart w:id="21" w:name="Xc3724360f5cddc5e739e68a90a48fe9f3bd592f"/>
    <w:p>
      <w:pPr>
        <w:pStyle w:val="Heading3"/>
      </w:pPr>
      <w:r>
        <w:t xml:space="preserve">4.2 Discrimination Within a Shared Address:</w:t>
      </w:r>
      <w:r>
        <w:t xml:space="preserve"> </w:t>
      </w:r>
      <w:r>
        <w:rPr>
          <w:i/>
          <w:iCs/>
        </w:rPr>
        <w:t xml:space="preserve">Psycho</w:t>
      </w:r>
      <w:r>
        <w:t xml:space="preserve"> </w:t>
      </w:r>
      <w:r>
        <w:t xml:space="preserve">and</w:t>
      </w:r>
      <w:r>
        <w:t xml:space="preserve"> </w:t>
      </w:r>
      <w:r>
        <w:rPr>
          <w:i/>
          <w:iCs/>
        </w:rPr>
        <w:t xml:space="preserve">Battleship Potemkin</w:t>
      </w:r>
    </w:p>
    <w:p>
      <w:pPr>
        <w:pStyle w:val="FirstParagraph"/>
      </w:pPr>
      <w:r>
        <w:t xml:space="preserve">The second demonstration concerns two works that the classification pipeline assigns identical three-axis coordinates: Alfred Hitchcock’s shower scene from</w:t>
      </w:r>
      <w:r>
        <w:t xml:space="preserve"> </w:t>
      </w:r>
      <w:r>
        <w:rPr>
          <w:i/>
          <w:iCs/>
        </w:rPr>
        <w:t xml:space="preserve">Psycho</w:t>
      </w:r>
      <w:r>
        <w:t xml:space="preserve"> </w:t>
      </w:r>
      <w:r>
        <w:t xml:space="preserve">(1960) and Sergei Eisenstein’s Odessa Steps sequence from</w:t>
      </w:r>
      <w:r>
        <w:t xml:space="preserve"> </w:t>
      </w:r>
      <w:r>
        <w:rPr>
          <w:i/>
          <w:iCs/>
        </w:rPr>
        <w:t xml:space="preserve">Battleship Potemkin</w:t>
      </w:r>
      <w:r>
        <w:t xml:space="preserve"> </w:t>
      </w:r>
      <w:r>
        <w:t xml:space="preserve">(1925). Both return Exploitation · montage · SELF_CONSTRAINS × EXPOSED × EXPLOITS at high confidence with unanimous three-run consensus. The classification is correct for both — both works exploit the cut’s generative properties as explicit structural content rather than managing or refusing them. The question the identical classification raises: if two works share a complete structural address, what discriminates them?</w:t>
      </w:r>
    </w:p>
    <w:p>
      <w:pPr>
        <w:pStyle w:val="BodyText"/>
      </w:pPr>
      <w:r>
        <w:t xml:space="preserve">The answer is the exploitation target — which property of the cut’s generative field each work exploits.</w:t>
      </w:r>
    </w:p>
    <w:p>
      <w:pPr>
        <w:pStyle w:val="BodyText"/>
      </w:pPr>
      <w:r>
        <w:t xml:space="preserve">Eisenstein exploits the cut’s juxtaposition property: meaning generated from adjacency, images producing a third content that exists in neither image alone. The stone lion sequence — three photographs of three different statues in three positions, cut in sequence — constructs motion that never existed in recorded space. The cut’s specific generative capacity (adjacency produces meaning) is the compositional material. The mechanism is announced: Eisenstein theorized intellectual montage explicitly, making the structural argument the film’s declared subject.</w:t>
      </w:r>
    </w:p>
    <w:p>
      <w:pPr>
        <w:pStyle w:val="BodyText"/>
      </w:pPr>
      <w:r>
        <w:t xml:space="preserve">Hitchcock exploits the cut’s density property: rhythmic accumulation producing physiological response regardless of what any individual cut shows. Seventy-eight cuts in forty-five seconds exceeds the threshold at which individual cuts register consciously (Cutting, DeLong &amp; Nothelfer 2010). What remains is rhythm and sensation — the cutting density is the violence, not a representation of it. The mechanism is concealed in the sense that the viewer experiences the effect without tracking the cause; but the cut is not operating as invisible grammar. It is operating as sensory weapon.</w:t>
      </w:r>
    </w:p>
    <w:p>
      <w:pPr>
        <w:pStyle w:val="BodyText"/>
      </w:pPr>
      <w:r>
        <w:t xml:space="preserve">Same structural address. Different exploitation target. The three-axis classification system captures position within the field topology. The framing text — the prose analysis accompanying each classification — captures the specific operation within that position. This distinction between position and operation is the framework’s response to the objection that five categories are insufficient to characterize the diversity of creative works: the categories describe structural coordinates, not executions. Two works at identical coordinates are making the same structural move; what differs is how they make it.</w:t>
      </w:r>
    </w:p>
    <w:p>
      <w:pPr>
        <w:pStyle w:val="BodyText"/>
      </w:pPr>
      <w:r>
        <w:t xml:space="preserve">The</w:t>
      </w:r>
      <w:r>
        <w:t xml:space="preserve"> </w:t>
      </w:r>
      <w:r>
        <w:rPr>
          <w:i/>
          <w:iCs/>
        </w:rPr>
        <w:t xml:space="preserve">Psycho</w:t>
      </w:r>
      <w:r>
        <w:t xml:space="preserve">/</w:t>
      </w:r>
      <w:r>
        <w:rPr>
          <w:i/>
          <w:iCs/>
        </w:rPr>
        <w:t xml:space="preserve">Potemkin</w:t>
      </w:r>
      <w:r>
        <w:t xml:space="preserve"> </w:t>
      </w:r>
      <w:r>
        <w:t xml:space="preserve">pair demonstrates that the framework’s classification system is neither overcomplete (generating spurious distinctions between works that are structurally equivalent) nor undercomplete (collapsing works that are structurally distinct into the same category). Both works are correctly at Exploitation. Their discrimination requires the prose analysis layer, not a finer classification grid.</w:t>
      </w:r>
    </w:p>
    <w:bookmarkEnd w:id="21"/>
    <w:bookmarkStart w:id="22" w:name="X043a70b39755a995c0244144c610e8e4d90c6e9"/>
    <w:p>
      <w:pPr>
        <w:pStyle w:val="Heading3"/>
      </w:pPr>
      <w:r>
        <w:t xml:space="preserve">4.3 Cross-Domain Structural Homology: Coltrane and Eisenstein at Exploitation</w:t>
      </w:r>
    </w:p>
    <w:p>
      <w:pPr>
        <w:pStyle w:val="FirstParagraph"/>
      </w:pPr>
      <w:r>
        <w:t xml:space="preserve">The third demonstration concerns the cross-domain homology claim directly. FalseWork proposes that Coltrane’s</w:t>
      </w:r>
      <w:r>
        <w:t xml:space="preserve"> </w:t>
      </w:r>
      <w:r>
        <w:rPr>
          <w:i/>
          <w:iCs/>
        </w:rPr>
        <w:t xml:space="preserve">Giant Steps</w:t>
      </w:r>
      <w:r>
        <w:t xml:space="preserve"> </w:t>
      </w:r>
      <w:r>
        <w:t xml:space="preserve">(music kernel, Exploitation · hexatonic) and Eisenstein’s Odessa Steps sequence (cinema kernel, Exploitation · montage) occupy the same structural address in their respective domains’ behavior spaces. This is a structural claim, not an analogical one. It does not propose that jazz improvisation resembles Soviet montage in surface features, stylistic concerns, or historical context. It proposes that both works make the same structural move relative to their domain’s kernel — exploiting the specific geometry of the generative field at its boundary as explicit compositional content.</w:t>
      </w:r>
    </w:p>
    <w:p>
      <w:pPr>
        <w:pStyle w:val="BodyText"/>
      </w:pPr>
      <w:r>
        <w:t xml:space="preserve">The structural argument for the homology: Both kernels are prior, monogenic, inescapable, and self-limiting. Both generate a specific irresolvable gap. Both commas have a precise geometric structure — the augmented triad’s topological properties within the closed harmonic field; the cut’s juxtaposition capacity at the boundary between spatial coherence and attentional control. Both works exploit that geometric structure as the announced subject of the work rather than managing or refusing it.</w:t>
      </w:r>
    </w:p>
    <w:p>
      <w:pPr>
        <w:pStyle w:val="BodyText"/>
      </w:pPr>
      <w:r>
        <w:rPr>
          <w:i/>
          <w:iCs/>
        </w:rPr>
        <w:t xml:space="preserve">Giant Steps</w:t>
      </w:r>
      <w:r>
        <w:t xml:space="preserve"> </w:t>
      </w:r>
      <w:r>
        <w:t xml:space="preserve">makes the augmented triad symmetry the explicit harmonic content — every chord change traces the major-third cycle at maximum velocity. The geometry of the field at its boundary is the composition. Eisenstein makes the cut’s juxtaposition capacity the explicit compositional argument — the stone lion’s motion is constructed entirely from adjacency between three static photographs. The geometry of the cut’s generative operation is the film.</w:t>
      </w:r>
    </w:p>
    <w:p>
      <w:pPr>
        <w:pStyle w:val="BodyText"/>
      </w:pPr>
      <w:r>
        <w:t xml:space="preserve">Both practitioners understood the geometry they were exploiting. Coltrane drew geometric diagrams of the tonal space — mapping pitch relationships as visual objects between sets at gigs, working the geometry out on paper as a regular practice; the diagram he gave to saxophonist and theorist Yusef Lateef in 1967 is the most famous artifact of this practice (Lateef 1981). Eisenstein theorized intellectual montage explicitly in his published writings, making the structural argument available for independent verification (Eisenstein 1949). Both works are cases where the practitioner’s structural awareness is documented independently of the FalseWork classification.</w:t>
      </w:r>
    </w:p>
    <w:p>
      <w:pPr>
        <w:pStyle w:val="BodyText"/>
      </w:pPr>
      <w:r>
        <w:t xml:space="preserve">The homology is not asserted on the basis of surface resemblance or shared cultural context. Coltrane and Eisenstein had no documented intellectual exchange. Jazz improvisation and Soviet montage theory developed in different countries, different decades, different media, with different political and aesthetic concerns. The proposed structural equivalence rests entirely on the formal argument: same position in the constraint space generated by a self-limiting generative operation, same relationship to the specific geometry of the comma, same announcement of that geometry as compositional content.</w:t>
      </w:r>
    </w:p>
    <w:p>
      <w:pPr>
        <w:pStyle w:val="BodyText"/>
      </w:pPr>
      <w:r>
        <w:t xml:space="preserve">This is the cross-domain homology claim in its most precise form. It is falsifiable: if the augmented triad’s topological properties within the closed harmonic field and the cut’s juxtaposition capacity at the spatial coherence boundary can be shown to be structurally non-analogous — if the geometry of the comma in each domain refers to formally incomparable structures — the homology claim fails. The framework proposes they are comparable because both are instances of the same abstract structure: a sub-symmetry made available by a closed generative field at its boundary. Whether this abstraction is sufficient to ground genuine structural comparison or merely a suggestive analogy is the open empirical question the proxy feature program is designed to test.</w:t>
      </w:r>
    </w:p>
    <w:bookmarkEnd w:id="22"/>
    <w:bookmarkStart w:id="23" w:name="X9cd50af058f6b874125195ec1f8bbbb716c89ed"/>
    <w:p>
      <w:pPr>
        <w:pStyle w:val="Heading3"/>
      </w:pPr>
      <w:r>
        <w:t xml:space="preserve">4.4 The Proxy Feature Program: Formal Position Recovery</w:t>
      </w:r>
    </w:p>
    <w:p>
      <w:pPr>
        <w:pStyle w:val="FirstParagraph"/>
      </w:pPr>
      <w:r>
        <w:t xml:space="preserve">The fourth demonstration tests whether the framework’s structural positions are recoverable from measurable formal properties of works without natural language reasoning as intermediary. The first three demonstrations establish external corroboration: domain experts independently arriving at the same structural coordinates from different analytical starting points. This demonstration establishes formal recoverability: measurable features of the works themselves predicting the same coordinates the framework derives theoretically. Where the two methods agree, the formal ground is confirmed. Where they diverge, the divergence is diagnostic — it identifies either a feature extraction gap or a theoretical imprecision in the territory definition that the derivation alone cannot surface.</w:t>
      </w:r>
    </w:p>
    <w:p>
      <w:pPr>
        <w:pStyle w:val="BodyText"/>
      </w:pPr>
      <w:r>
        <w:t xml:space="preserve">The more theoretically significant result is from the literature kernel. A spaCy dependency parsing extractor was run against twelve works spanning Hemingway through Proust and Kafka, covering the full theoretical range from Infrastructure through Refusal. The primary axis — normalized mean parse depth — correctly ranked syntactic complexity in the expected direction but failed to separate the classifier’s coordinative and hypotactic territory groups. This is not a calibration error. The music kernel’s comma is a single incommensurability: stacked fifths produce one gap, diatonic distance measures it, and a single axis suffices. The syntax kernel’s comma admits multiple independent violation strategies arriving at the same structural limit through different mechanisms: elaborative complexity (Proust — maximum depth, maximum subordination, maximum sentence-length variance); operative disruption through subordination without depth (Kafka — second-highest subordination in the corpus, moderate parse depth, low variance; his sentences defer resolution through relentless clause-embedding); and lateral complexity operating above the syntactic level (James — lowest proxy scores on all three components except Hemingway, yet placed by the classifier in hypotactic territory alongside Dickens, Melville, and Woolf). The James case is precise rather than merely anomalous: his proxy scores actively measure the absence of the complexity the classifier detects. His sentences are syntactically simple; his complexity is semantic embedding — qualification, nested implication, deferred reference — that dependency parsing cannot reach. The proxy’s failure to see what the classifier sees locates the comma’s position with formal precision: the syntax kernel’s limit operates above the syntactic level. This implies a general methodological principle: the dimensionality of the proxy required to separate a kernel’s territories is evidence about the dimensionality of the kernel’s comma. Where a single axis suffices, the comma is a single incommensurability. Where a composite axis is required and still fails, the comma admits violation strategies operating at different levels of the domain’s generative structure. The proxy program did not fail to measure the syntax kernel’s comma. It measured it precisely enough to show where the theoretical definition requires extension.</w:t>
      </w:r>
    </w:p>
    <w:p>
      <w:pPr>
        <w:pStyle w:val="BodyText"/>
      </w:pPr>
      <w:r>
        <w:t xml:space="preserve">The music kernel result confirms the baseline. A harmonic feature extractor run against 341 Bach chorales. Zero classifications fell in hexatonic or chromatic territory — all 341 land in diatonic, acoustic, or harmonic_major_minor regions, consistent with the theoretical prediction that chorales following the fifth’s home logic stay within Infrastructure and Distribution. Minor mode chorales show a mean diatonic distance +0.0832 higher than major-key chorales — the first formally grounded, non-interpretive confirmation that minor mode pulls toward the boundary of the fifth’s home territory in exactly the direction the derivation predicts. A spectrum validation against 15 works from Mozart through Schoenberg achieves 46.7% territory match; failure modes point to scale-sensitive normalization as the next required refinement. A comparison run across 33 BWV-matched works against the kernel engagement classifier showed both instruments measuring real structure at different scales: the classifier reads all chorales as diatonic/infrastructure at the level of structural identity while the proxy measures finer-grained harmonic complexity within that territory. The 7/7 perfect agreement for diatonic-predicted works confirms the proxy baseline is sound. The music kernel’s field topology is recoverable from measurable harmonic properties.</w:t>
      </w:r>
    </w:p>
    <w:p>
      <w:pPr>
        <w:pStyle w:val="BodyText"/>
      </w:pPr>
      <w:r>
        <w:t xml:space="preserve">The methodological contribution of the fourth demonstration is the inverse of the first three. Demonstrations 1–3 test whether the framework’s theoretical predictions survive contact with independent expert judgment. The proxy program tests whether they survive contact with formal measurement. Expert judgment detects absorbed framing that measurement cannot see; measurement detects theoretical underspecification that expert judgment might rationalize away. A framework subjected to both has a more robust validation architecture than one subjected to either alone.</w:t>
      </w:r>
    </w:p>
    <w:bookmarkEnd w:id="23"/>
    <w:bookmarkEnd w:id="24"/>
    <w:bookmarkStart w:id="29" w:name="open-problems"/>
    <w:p>
      <w:pPr>
        <w:pStyle w:val="Heading2"/>
      </w:pPr>
      <w:r>
        <w:t xml:space="preserve">5. Open Problems</w:t>
      </w:r>
    </w:p>
    <w:p>
      <w:pPr>
        <w:pStyle w:val="FirstParagraph"/>
      </w:pPr>
      <w:r>
        <w:t xml:space="preserve">Three open problems are identified. Each represents a genuine limitation of the current framework rather than an implementation gap — they are structural challenges that the theoretical framework itself generates.</w:t>
      </w:r>
    </w:p>
    <w:bookmarkStart w:id="25" w:name="the-corpus-level-commitment-problem"/>
    <w:p>
      <w:pPr>
        <w:pStyle w:val="Heading3"/>
      </w:pPr>
      <w:r>
        <w:t xml:space="preserve">5.1 The Corpus-Level Commitment Problem</w:t>
      </w:r>
    </w:p>
    <w:p>
      <w:pPr>
        <w:pStyle w:val="FirstParagraph"/>
      </w:pPr>
      <w:r>
        <w:t xml:space="preserve">The framework’s derivation places Commitment as a distinct structural position: the kernel’s home logic extended with total fidelity until the operation and its limit become identical, arrived at through extension rather than negation. The canonical music example is Bach’s</w:t>
      </w:r>
      <w:r>
        <w:t xml:space="preserve"> </w:t>
      </w:r>
      <w:r>
        <w:rPr>
          <w:i/>
          <w:iCs/>
        </w:rPr>
        <w:t xml:space="preserve">Art of Fugue</w:t>
      </w:r>
      <w:r>
        <w:t xml:space="preserve"> </w:t>
      </w:r>
      <w:r>
        <w:t xml:space="preserve">— the fifth’s contrapuntal logic extended through every formal transformation of a single subject until the unfinished final fugue marks where the system’s own logic could not continue.</w:t>
      </w:r>
    </w:p>
    <w:p>
      <w:pPr>
        <w:pStyle w:val="BodyText"/>
      </w:pPr>
      <w:r>
        <w:t xml:space="preserve">The classification pipeline, however, returns Infrastructure for all non-chorale Bach works in the current corpus, including the</w:t>
      </w:r>
      <w:r>
        <w:t xml:space="preserve"> </w:t>
      </w:r>
      <w:r>
        <w:rPr>
          <w:i/>
          <w:iCs/>
        </w:rPr>
        <w:t xml:space="preserve">Art of Fugue</w:t>
      </w:r>
      <w:r>
        <w:t xml:space="preserve">. The pipeline classifies individual works. The Commitment argument for Bach is a corpus-level claim — it requires understanding that Bach’s lifelong practice of following the fifth’s contrapuntal logic with total fidelity accumulates until reaching a formal boundary. No single work contains the full argument. The</w:t>
      </w:r>
      <w:r>
        <w:t xml:space="preserve"> </w:t>
      </w:r>
      <w:r>
        <w:rPr>
          <w:i/>
          <w:iCs/>
        </w:rPr>
        <w:t xml:space="preserve">Art of Fugue</w:t>
      </w:r>
      <w:r>
        <w:t xml:space="preserve">’s break mid-phrase is the comma made audible through maximum fidelity — but the pipeline reading an individual profile cannot distinguish this from Infrastructure without the corpus-level context.</w:t>
      </w:r>
    </w:p>
    <w:p>
      <w:pPr>
        <w:pStyle w:val="BodyText"/>
      </w:pPr>
      <w:r>
        <w:t xml:space="preserve">This is a genuine theoretical gap, not a calibration error. The five-position derivation assumes that structural position is a property of individual works. The Bach case suggests that Commitment may be a property of a practitioner’s relationship to a constraint across a corpus — not recoverable from any single work in isolation. Two responses are possible. First: the kernel definition for The Fifth requires refinement to distinguish Infrastructure-at-depth from Commitment at the single-work level — the pipeline limitation reveals an underspecification in the theoretical framework. Second: Commitment is genuinely a corpus-level position for certain practitioners, and the framework requires a corpus-level classification layer in addition to the work-level classifier. Both responses are under active investigation. The pipeline limitation is documented as evidence of the theoretical gap rather than resolved by override. Section 3.4’s ontological note — that the derivation’s target space may need to be reformulated if Commitment turns out to be irreducibly corpus-level — is the theoretical consequence of this gap.</w:t>
      </w:r>
    </w:p>
    <w:bookmarkEnd w:id="25"/>
    <w:bookmarkStart w:id="26" w:name="the-proxy-feature-program"/>
    <w:p>
      <w:pPr>
        <w:pStyle w:val="Heading3"/>
      </w:pPr>
      <w:r>
        <w:t xml:space="preserve">5.2 The Proxy Feature Program</w:t>
      </w:r>
    </w:p>
    <w:p>
      <w:pPr>
        <w:pStyle w:val="FirstParagraph"/>
      </w:pPr>
      <w:r>
        <w:t xml:space="preserve">The classification pipeline currently uses natural language reasoning to arrive at structural coordinates rather than deriving them from formal properties of the work. This is the gap between the framework’s theoretical precision — the comma has a formal address, the territories have logical derivations — and the instrument’s inference process. Natural language reasoning is interpretively powerful but formally opaque: it is not possible to verify whether a classification follows from structural features of the work or from associations in training data.</w:t>
      </w:r>
    </w:p>
    <w:p>
      <w:pPr>
        <w:pStyle w:val="BodyText"/>
      </w:pPr>
      <w:r>
        <w:t xml:space="preserve">The path toward closing this gap is a domain-specific proxy feature program. Each kernel’s comma is measurable. The territories should be predictable from extracted features without natural language reasoning as intermediary. For the music kernel: spectral analysis of interval ratios, frequency of chromatic mediants, deviation from diatonic closure in the harmonic series — territory position should be predictable from spectral features. For the cinema kernel: cuts per minute, shot length variance, audio/video cut offset frequency, spatial axis violation rate — continuity territory from low variance and consistent axis, montage from high variance and axis violations, durational from near-zero cut density with sustained spatial coherence. For the architecture kernel: ratio of expressed to concealed structural members, cantilever depth, span-to-support ratio — tectonic territory from minimal redundancy, structural negation from measurable load path violations against structural models.</w:t>
      </w:r>
    </w:p>
    <w:p>
      <w:pPr>
        <w:pStyle w:val="BodyText"/>
      </w:pPr>
      <w:r>
        <w:t xml:space="preserve">The research program: build feature extractors for each domain and test whether extracted features predict territory classifications that match the current pipeline’s outputs. Where they match, the formal ground is confirmed. Where they diverge, the divergence is diagnostic. Section 4.4 presents the first results across two domains. The open problems remaining are: scale-sensitive normalization for the music extractor; threshold calibration for both domains against classifier territory assignments; and the James-level semantic complexity problem in the literature kernel, where the proxy measures the absence of the complexity the classifier detects, locating but not yet crossing the boundary between syntactic and semantic embedding. These are measurement problems, not theoretical ones. The theoretical finding — that proxy dimensionality reveals comma dimensionality — is established by the current results.</w:t>
      </w:r>
    </w:p>
    <w:bookmarkEnd w:id="26"/>
    <w:bookmarkStart w:id="27" w:name="the-epistemic-dependency-problem"/>
    <w:p>
      <w:pPr>
        <w:pStyle w:val="Heading3"/>
      </w:pPr>
      <w:r>
        <w:t xml:space="preserve">5.3 The Epistemic Dependency Problem</w:t>
      </w:r>
    </w:p>
    <w:p>
      <w:pPr>
        <w:pStyle w:val="FirstParagraph"/>
      </w:pPr>
      <w:r>
        <w:t xml:space="preserve">The classification pipeline operates on training data that includes the theoretical traditions it classifies within. This creates a structural epistemic dependency: the pipeline’s classifications may reproduce the judgments embedded in its training data rather than recovering structural positions independently. The Tymoczko correspondence is the clearest evidence of this dependency — specifically the exploitation target refinement, where the initial framing reproduced a common music-education framing that domain expertise corrected. The initial classification of</w:t>
      </w:r>
      <w:r>
        <w:t xml:space="preserve"> </w:t>
      </w:r>
      <w:r>
        <w:rPr>
          <w:i/>
          <w:iCs/>
        </w:rPr>
        <w:t xml:space="preserve">Giant Steps</w:t>
      </w:r>
      <w:r>
        <w:t xml:space="preserve"> </w:t>
      </w:r>
      <w:r>
        <w:t xml:space="preserve">identified the correct territory (Exploitation · hexatonic) but misidentified the exploitation target (circle of fifths rather than augmented triad symmetry). The error was not random — it reproduced a common theoretical framing in music education that treats</w:t>
      </w:r>
      <w:r>
        <w:t xml:space="preserve"> </w:t>
      </w:r>
      <w:r>
        <w:rPr>
          <w:i/>
          <w:iCs/>
        </w:rPr>
        <w:t xml:space="preserve">Giant Steps</w:t>
      </w:r>
      <w:r>
        <w:t xml:space="preserve"> </w:t>
      </w:r>
      <w:r>
        <w:t xml:space="preserve">primarily as a circle-of-fifths phenomenon. The correction required domain expertise that was not in the initial classification.</w:t>
      </w:r>
    </w:p>
    <w:p>
      <w:pPr>
        <w:pStyle w:val="BodyText"/>
      </w:pPr>
      <w:r>
        <w:t xml:space="preserve">This problem is structural rather than contingent. It cannot be eliminated by improving the pipeline — any system trained on human-generated knowledge inherits the theoretical commitments embedded in that knowledge. The question is not how to eliminate epistemic dependency but how to detect it and what constitutes genuine correction versus circular confirmation. The framework’s current methodology — correspondence with domain experts who identify specific errors — is a primitive version of what peer review, citation networks, and academic debate do for human knowledge production. Humans do not generate knowledge without prior theoretical commitments either; no practitioner or theorist works outside the traditions that formed them. The difference is not that human knowledge production escapes epistemic dependency — it is that human correction mechanisms are more developed, more socially distributed, and more institutionally formalized. FalseWork’s correspondence methodology is an early-stage analog to those mechanisms.</w:t>
      </w:r>
    </w:p>
    <w:p>
      <w:pPr>
        <w:pStyle w:val="BodyText"/>
      </w:pPr>
      <w:r>
        <w:t xml:space="preserve">The epistemic dependency problem as it applies specifically to AI classification systems — and its structural parallel to human knowledge production — is the subject of subsequent work. The framework here identifies the problem precisely, names the correction mechanism currently in use, and treats the Tymoczko exchange as evidence that genuine correction is possible rather than as evidence that the problem is solved.</w:t>
      </w:r>
    </w:p>
    <w:bookmarkEnd w:id="27"/>
    <w:bookmarkStart w:id="28" w:name="X8db52fdc896a3c75adea162fe476e72bfb0c85a"/>
    <w:p>
      <w:pPr>
        <w:pStyle w:val="Heading3"/>
      </w:pPr>
      <w:r>
        <w:t xml:space="preserve">5.4 Scholarly Precedent for Domain-Dependent Formalism</w:t>
      </w:r>
    </w:p>
    <w:p>
      <w:pPr>
        <w:pStyle w:val="FirstParagraph"/>
      </w:pPr>
      <w:r>
        <w:t xml:space="preserve">The three open problems above arise in a framework that is explicit about a methodological commitment: that different domains admit different degrees of formalism, and that the extension of the Incompleteness Condition (G ∧ R ∧ C) across music, cinema, architecture, literature, software, and physics involves progressively looser formal grounding — fully formal for software and physics where the condition follows from Gödel (1931) and Wolfram (2002), respectively, and progressively more structurally analogous for music, cinema, architecture, and literature, where the G ∧ R ∧ C mapping is presented as structural analogy rather than first-principles derivation. The cumulative series (Brink 2026a–e) treats this differential grounding as a feature of the problem rather than a defect of the analysis: physics and computation admit full formalism because the underlying systems are themselves formal; practice domains admit structural analogy because the underlying systems are not.</w:t>
      </w:r>
    </w:p>
    <w:p>
      <w:pPr>
        <w:pStyle w:val="BodyText"/>
      </w:pPr>
      <w:r>
        <w:t xml:space="preserve">This methodological commitment — that formalism is domain-dependent, that the single-formalism ideal is inadequate for cross-domain work, and that structural analogy at appropriate registers is a legitimate rather than defective methodological posture — has adjacent scholarly precedent in contemporary philosophy of science, independent of the present framework. George F. R. Ellis’s work on multi-level emergence and top-down causation (Ellis 2016; Ellis &amp; Drossel 2019, 2020) argues, on independent grounds in philosophy of physics and cosmology, that different organizational levels require different formalisms and that higher-level descriptions are not reducible to lower-level physics. Nancy Cartwright’s</w:t>
      </w:r>
      <w:r>
        <w:t xml:space="preserve"> </w:t>
      </w:r>
      <w:r>
        <w:rPr>
          <w:i/>
          <w:iCs/>
        </w:rPr>
        <w:t xml:space="preserve">Dappled World</w:t>
      </w:r>
      <w:r>
        <w:t xml:space="preserve"> </w:t>
      </w:r>
      <w:r>
        <w:t xml:space="preserve">(Cartwright 1999) argues, on independent grounds in philosophy of science, that scientific laws are local and domain-specific, that the universe is a</w:t>
      </w:r>
      <w:r>
        <w:t xml:space="preserve"> </w:t>
      </w:r>
      <w:r>
        <w:t xml:space="preserve">“dappled”</w:t>
      </w:r>
      <w:r>
        <w:t xml:space="preserve"> </w:t>
      </w:r>
      <w:r>
        <w:t xml:space="preserve">patchwork of different kinds of order, and that the single-formalism ideal is a methodological error rather than a regulative goal.</w:t>
      </w:r>
    </w:p>
    <w:p>
      <w:pPr>
        <w:pStyle w:val="BodyText"/>
      </w:pPr>
      <w:r>
        <w:t xml:space="preserve">These are not endorsements of the present framework. Neither Ellis nor Cartwright has evaluated the G ∧ R ∧ C mapping, the kernel/comma topology, or the five-position derivation. Their relevance is narrower: they establish that the methodological posture —</w:t>
      </w:r>
      <w:r>
        <w:t xml:space="preserve"> </w:t>
      </w:r>
      <w:r>
        <w:rPr>
          <w:i/>
          <w:iCs/>
        </w:rPr>
        <w:t xml:space="preserve">domain-dependent formalism is a principled stance, not a retreat from rigour</w:t>
      </w:r>
      <w:r>
        <w:t xml:space="preserve"> </w:t>
      </w:r>
      <w:r>
        <w:t xml:space="preserve">— has standing in contemporary philosophy of science independent of the present paper. The specific mapping between their frameworks and the present paper’s typology is tracked as an open validation claim at</w:t>
      </w:r>
      <w:r>
        <w:t xml:space="preserve"> </w:t>
      </w:r>
      <w:r>
        <w:rPr>
          <w:rStyle w:val="VerbatimChar"/>
        </w:rPr>
        <w:t xml:space="preserve">validation/claims/ellis-cartwright-philosophical-support.md</w:t>
      </w:r>
      <w:r>
        <w:t xml:space="preserve"> </w:t>
      </w:r>
      <w:r>
        <w:t xml:space="preserve">(GitHub issue</w:t>
      </w:r>
      <w:r>
        <w:t xml:space="preserve"> </w:t>
      </w:r>
      <w:hyperlink r:id="rId9">
        <w:r>
          <w:rPr>
            <w:rStyle w:val="Hyperlink"/>
          </w:rPr>
          <w:t xml:space="preserve">#10</w:t>
        </w:r>
      </w:hyperlink>
      <w:r>
        <w:t xml:space="preserve">) and requires independent assessment by a philosopher of science before it can be advanced beyond adjacent support. [REVIEW: philosopher of science]</w:t>
      </w:r>
    </w:p>
    <w:bookmarkEnd w:id="28"/>
    <w:bookmarkEnd w:id="29"/>
    <w:bookmarkStart w:id="30" w:name="conclusion"/>
    <w:p>
      <w:pPr>
        <w:pStyle w:val="Heading2"/>
      </w:pPr>
      <w:r>
        <w:t xml:space="preserve">6. Conclusion</w:t>
      </w:r>
    </w:p>
    <w:p>
      <w:pPr>
        <w:pStyle w:val="FirstParagraph"/>
      </w:pPr>
      <w:r>
        <w:t xml:space="preserve">This paper has proposed and derived a framework for structural classification of creative and scientific works across domains. Three claims are established.</w:t>
      </w:r>
    </w:p>
    <w:p>
      <w:pPr>
        <w:pStyle w:val="BodyText"/>
      </w:pPr>
      <w:r>
        <w:t xml:space="preserve">First, the Incompleteness Condition — formalized as G ∧ R ∧ C — holds for formal systems (Gödel 1931) and computational systems (Wolfram 2002). Its extension to domains of sustained human practice organized around a minimal generative operation is proposed as a hypothesis, tested through the kernel framework’s classification performance across six domains rather than proven from first principles. The kernel concept and the topology that follows are conditional on this extension.</w:t>
      </w:r>
    </w:p>
    <w:p>
      <w:pPr>
        <w:pStyle w:val="BodyText"/>
      </w:pPr>
      <w:r>
        <w:t xml:space="preserve">Second, from the Incompleteness Condition follows a specific domain-level structure: a kernel (the minimal self-limiting generative operation) generating a comma (the specific irresolvable gap at the kernel’s boundary) around which practitioners organize structurally distinct responses. Six kernels have been identified across six domains, with validation ranging from independent geometric corroboration (The Fifth, via Tymoczko) through three-of-four criteria confirmed (The Cut, via Cutting) to theoretical argument pending expert validation (Gravity, Syntax, The Conditional Branch) to uniquely contested comma (The Wave Function). Their commas are formally located. The field topology each comma generates — the space of possible structural positions relative to the gap — has the same invariant structure across all six domains.</w:t>
      </w:r>
    </w:p>
    <w:p>
      <w:pPr>
        <w:pStyle w:val="BodyText"/>
      </w:pPr>
      <w:r>
        <w:t xml:space="preserve">Third, from a structured decision tree — one binary distinction (encounter or non-encounter of the comma) followed by a partition of the encounter branch into three structural targets (the field, the geometry of the comma, and the limit itself) — five and only five structurally distinct positions follow: Infrastructure, Distribution, Exploitation, Commitment, and Refusal. The five positions correspond to a predicate partition over the target space {field, geometry(L), limit}, where the three targets map to the three spatial relations to a boundary (interior, boundary structure, boundary itself), and the limit target further partitions by direction of approach (with the kernel’s logic, against it). These positions are proposed as mutually exclusive, collectively exhaustive, and domain-agnostic. The same topology appears across music, cinema, architecture, literature, software, and physics because the derivation applies wherever a kernel exists. Four empirical demonstrations ground this claim: independent corroboration of FalseWork’s three-way Coltrane discrimination by Tymoczko’s geometric framework, which maps the same three works onto the same three structural fields from a different analytical starting point; discrimination between two works sharing identical three-axis classifications by exploitation target within the cinema kernel; a cross-domain structural comparison between Coltrane’s</w:t>
      </w:r>
      <w:r>
        <w:t xml:space="preserve"> </w:t>
      </w:r>
      <w:r>
        <w:rPr>
          <w:i/>
          <w:iCs/>
        </w:rPr>
        <w:t xml:space="preserve">Giant Steps</w:t>
      </w:r>
      <w:r>
        <w:t xml:space="preserve"> </w:t>
      </w:r>
      <w:r>
        <w:t xml:space="preserve">and Eisenstein’s Odessa Steps sequence at full resolution; and a proxy feature program demonstration showing that the music kernel’s field topology is recoverable from measurable harmonic properties and that proxy failure in the literature kernel reveals internal structure of the syntax comma the theoretical definition had not fully specified.</w:t>
      </w:r>
    </w:p>
    <w:p>
      <w:pPr>
        <w:pStyle w:val="BodyText"/>
      </w:pPr>
      <w:r>
        <w:rPr>
          <w:b/>
          <w:bCs/>
        </w:rPr>
        <w:t xml:space="preserve">What this paper does not claim.</w:t>
      </w:r>
      <w:r>
        <w:t xml:space="preserve"> </w:t>
      </w:r>
      <w:r>
        <w:t xml:space="preserve">The framework does not claim that the five positions are proven exhaustive — they are proposed as exhaustive under the current derivation, with persistent classification failure treated as evidence of kernel misspecification rather than topological incompleteness. The framework does not claim that the classification pipeline recovers structural positions without epistemic dependency on its training data — the dependency is structural and acknowledged. The framework does not claim that the cross-domain homology is more than a structural correspondence — it does not assert that works at identical coordinates are aesthetically equivalent, historically connected, or mutually illuminating in any sense beyond the formal structural argument.</w:t>
      </w:r>
    </w:p>
    <w:p>
      <w:pPr>
        <w:pStyle w:val="BodyText"/>
      </w:pPr>
      <w:r>
        <w:rPr>
          <w:b/>
          <w:bCs/>
        </w:rPr>
        <w:t xml:space="preserve">The validation architecture.</w:t>
      </w:r>
      <w:r>
        <w:t xml:space="preserve"> </w:t>
      </w:r>
      <w:r>
        <w:t xml:space="preserve">The framework’s epistemological foundation is not derivational authority but continuous validation through domain expert engagement. Structural positions derived from first principles are tested against domain expertise. Where experts independently corroborate the framework — as Tymoczko’s geometric framework independently mapped the same three Coltrane works onto the same three structural fields — the convergence is evidence that the classification is tracking real structure. Where experts refine specific claims — as Tymoczko’s note on the major-third cycle refined the exploitation target for</w:t>
      </w:r>
      <w:r>
        <w:t xml:space="preserve"> </w:t>
      </w:r>
      <w:r>
        <w:rPr>
          <w:i/>
          <w:iCs/>
        </w:rPr>
        <w:t xml:space="preserve">Giant Steps</w:t>
      </w:r>
      <w:r>
        <w:t xml:space="preserve"> </w:t>
      </w:r>
      <w:r>
        <w:t xml:space="preserve">— the refinement is evidence that the validation layer is functioning, not evidence that the framework is unreliable. Where experts express skepticism — as both Tymoczko and Cutting did regarding their respective comma formulations — the skepticism is documented as an open problem rather than resolved by assertion. A framework immune to expert correction is not rigorous. A framework continuously revised through expert engagement is doing what any scientific instrument does when calibrated against ground truth. This process is not remediation of errors. It is the framework’s epistemological architecture. Every kernel claim, every territory boundary, every cross-domain homology is under active review by domain experts in the relevant fields. The framework’s authority rests not on the credentials of its author but on the correction and validation process — specific claims confirmed or refuted by domain experts, the framework revising accordingly.</w:t>
      </w:r>
    </w:p>
    <w:p>
      <w:pPr>
        <w:pStyle w:val="BodyText"/>
      </w:pPr>
      <w:r>
        <w:t xml:space="preserve">The comma is not incidental to a domain’s history — it is what makes the domain generative rather than merely productive. Every significant work in every domain is at some level a response to the comma the kernel generates.</w:t>
      </w:r>
    </w:p>
    <w:p>
      <w:pPr>
        <w:pStyle w:val="BodyText"/>
      </w:pPr>
      <w:r>
        <w:t xml:space="preserve">Humans do not generate knowledge without prior theoretical commitments. No practitioner or theorist works outside the traditions that formed them. The pipeline’s epistemic dependency on its training data is not a deficiency unique to computational systems — it is a structural condition shared with human knowledge production. What differs is the maturity of the correction mechanism. The framework’s domain expert correspondence is an early-stage analog to peer review, citation networks, and academic debate. It is primitive relative to those mechanisms and more developed than no mechanism at all. The second paper this framework generates concerns that parallel directly — what AI epistemic dependency shares with human knowledge production, what genuine correction looks like at the primitive stage, and what a mature validation architecture for computational structural analysis would require.</w:t>
      </w:r>
    </w:p>
    <w:p>
      <w:pPr>
        <w:pStyle w:val="BodyText"/>
      </w:pPr>
      <w:r>
        <w:rPr>
          <w:b/>
          <w:bCs/>
        </w:rPr>
        <w:t xml:space="preserve">What comes next.</w:t>
      </w:r>
      <w:r>
        <w:t xml:space="preserve"> </w:t>
      </w:r>
      <w:r>
        <w:t xml:space="preserve">Three research directions follow from the open problems identified in Section 5. The corpus-level Commitment problem requires either refinement of the kernel definition to distinguish Infrastructure-at-depth from Commitment at the single-work level, or development of a corpus-level classification layer that operates across a practitioner’s output rather than on individual works. The proxy feature program requires domain-specific feature extractors whose outputs can be compared against the current pipeline’s classifications — where they match, formal ground is confirmed; where they diverge, theoretical imprecision is identified. The epistemic dependency problem, and its structural parallel to human knowledge production, is the subject of subsequent work.</w:t>
      </w:r>
    </w:p>
    <w:p>
      <w:pPr>
        <w:pStyle w:val="BodyText"/>
      </w:pPr>
      <w:r>
        <w:t xml:space="preserve">The framework is implemented as a computational classification instrument at FalseWork (Brink 2026). The platform is the operational demonstration. This paper is the theoretical argument. Both are under continuous revision.</w:t>
      </w:r>
    </w:p>
    <w:bookmarkEnd w:id="30"/>
    <w:bookmarkStart w:id="31" w:name="references"/>
    <w:p>
      <w:pPr>
        <w:pStyle w:val="Heading2"/>
      </w:pPr>
      <w:r>
        <w:t xml:space="preserve">References</w:t>
      </w:r>
    </w:p>
    <w:p>
      <w:pPr>
        <w:pStyle w:val="FirstParagraph"/>
      </w:pPr>
      <w:r>
        <w:t xml:space="preserve">Brink, C. (2026). FalseWork: A computational instrument for structural analysis of creative and scientific works [Software/Platform]. https://falsework.dev</w:t>
      </w:r>
    </w:p>
    <w:p>
      <w:pPr>
        <w:pStyle w:val="BodyText"/>
      </w:pPr>
      <w:r>
        <w:t xml:space="preserve">Brink, C. (2026b). Epistemic dependency as structural condition: A live case study in AI-assisted theoretical framework development. Manuscript.</w:t>
      </w:r>
    </w:p>
    <w:p>
      <w:pPr>
        <w:pStyle w:val="BodyText"/>
      </w:pPr>
      <w:r>
        <w:t xml:space="preserve">Brink, C. (2026c). The distinction operation and the generative floor: Asymmetry, incompleteness, and the structural unity of domain kernels. Manuscript.</w:t>
      </w:r>
    </w:p>
    <w:p>
      <w:pPr>
        <w:pStyle w:val="BodyText"/>
      </w:pPr>
      <w:r>
        <w:t xml:space="preserve">Brink, C. (2026d). Mathematics as comma: The distinction operation and the unreasonable effectiveness of formal systems. Manuscript.</w:t>
      </w:r>
    </w:p>
    <w:p>
      <w:pPr>
        <w:pStyle w:val="BodyText"/>
      </w:pPr>
      <w:r>
        <w:t xml:space="preserve">Brink, C. (2026e). The Pythagorean comma, the irrationality of √2, and a shared Diophantine floor. Manuscript.</w:t>
      </w:r>
    </w:p>
    <w:p>
      <w:pPr>
        <w:pStyle w:val="BodyText"/>
      </w:pPr>
      <w:r>
        <w:t xml:space="preserve">Barreto, J. R. (2025). A survey on Lawvere’s fixed-point theorem. arXiv:2503.13536.</w:t>
      </w:r>
    </w:p>
    <w:p>
      <w:pPr>
        <w:pStyle w:val="BodyText"/>
      </w:pPr>
      <w:r>
        <w:t xml:space="preserve">Cantor, G. (1891). Über eine elementare Frage der Mannigfaltigkeitslehre.</w:t>
      </w:r>
      <w:r>
        <w:t xml:space="preserve"> </w:t>
      </w:r>
      <w:r>
        <w:rPr>
          <w:i/>
          <w:iCs/>
        </w:rPr>
        <w:t xml:space="preserve">Jahresbericht der Deutschen Mathematiker-Vereinigung</w:t>
      </w:r>
      <w:r>
        <w:t xml:space="preserve">, 1, 75–78.</w:t>
      </w:r>
    </w:p>
    <w:p>
      <w:pPr>
        <w:pStyle w:val="BodyText"/>
      </w:pPr>
      <w:r>
        <w:t xml:space="preserve">Cartwright, N. (1999).</w:t>
      </w:r>
      <w:r>
        <w:t xml:space="preserve"> </w:t>
      </w:r>
      <w:r>
        <w:rPr>
          <w:i/>
          <w:iCs/>
        </w:rPr>
        <w:t xml:space="preserve">The dappled world: A study of the boundaries of science</w:t>
      </w:r>
      <w:r>
        <w:t xml:space="preserve">. Cambridge University Press.</w:t>
      </w:r>
    </w:p>
    <w:p>
      <w:pPr>
        <w:pStyle w:val="BodyText"/>
      </w:pPr>
      <w:r>
        <w:t xml:space="preserve">Cubitt, T. S., Perez-Garcia, D., &amp; Wolf, M. M. (2015). Undecidability of the spectral gap.</w:t>
      </w:r>
      <w:r>
        <w:t xml:space="preserve"> </w:t>
      </w:r>
      <w:r>
        <w:rPr>
          <w:i/>
          <w:iCs/>
        </w:rPr>
        <w:t xml:space="preserve">Nature</w:t>
      </w:r>
      <w:r>
        <w:t xml:space="preserve">, 528, 207–211.</w:t>
      </w:r>
    </w:p>
    <w:p>
      <w:pPr>
        <w:pStyle w:val="BodyText"/>
      </w:pPr>
      <w:r>
        <w:t xml:space="preserve">Cutting, J. E. (forthcoming).</w:t>
      </w:r>
      <w:r>
        <w:t xml:space="preserve"> </w:t>
      </w:r>
      <w:r>
        <w:rPr>
          <w:i/>
          <w:iCs/>
        </w:rPr>
        <w:t xml:space="preserve">Four cinematic forms and their psychological bases</w:t>
      </w:r>
      <w:r>
        <w:t xml:space="preserve">. University of Texas Press.</w:t>
      </w:r>
    </w:p>
    <w:p>
      <w:pPr>
        <w:pStyle w:val="BodyText"/>
      </w:pPr>
      <w:r>
        <w:t xml:space="preserve">Cutting, J. E., DeLong, J. E., &amp; Nothelfer, C. E. (2010). Attention and the evolution of Hollywood film.</w:t>
      </w:r>
      <w:r>
        <w:t xml:space="preserve"> </w:t>
      </w:r>
      <w:r>
        <w:rPr>
          <w:i/>
          <w:iCs/>
        </w:rPr>
        <w:t xml:space="preserve">Psychological Science</w:t>
      </w:r>
      <w:r>
        <w:t xml:space="preserve">, 21(3), 432–439.</w:t>
      </w:r>
    </w:p>
    <w:p>
      <w:pPr>
        <w:pStyle w:val="BodyText"/>
      </w:pPr>
      <w:r>
        <w:t xml:space="preserve">Cutting, J. E. Personal correspondence. 2026.</w:t>
      </w:r>
    </w:p>
    <w:p>
      <w:pPr>
        <w:pStyle w:val="BodyText"/>
      </w:pPr>
      <w:r>
        <w:t xml:space="preserve">Dennett, D. C. (1991). Real patterns.</w:t>
      </w:r>
      <w:r>
        <w:t xml:space="preserve"> </w:t>
      </w:r>
      <w:r>
        <w:rPr>
          <w:i/>
          <w:iCs/>
        </w:rPr>
        <w:t xml:space="preserve">Journal of Philosophy</w:t>
      </w:r>
      <w:r>
        <w:t xml:space="preserve">, 88(1), 27–51.</w:t>
      </w:r>
    </w:p>
    <w:p>
      <w:pPr>
        <w:pStyle w:val="BodyText"/>
      </w:pPr>
      <w:r>
        <w:t xml:space="preserve">Eisenstein, S. (1949).</w:t>
      </w:r>
      <w:r>
        <w:t xml:space="preserve"> </w:t>
      </w:r>
      <w:r>
        <w:rPr>
          <w:i/>
          <w:iCs/>
        </w:rPr>
        <w:t xml:space="preserve">Film form: Essays in film theory</w:t>
      </w:r>
      <w:r>
        <w:t xml:space="preserve"> </w:t>
      </w:r>
      <w:r>
        <w:t xml:space="preserve">(J. Leyda, Trans.). Harcourt Brace.</w:t>
      </w:r>
    </w:p>
    <w:p>
      <w:pPr>
        <w:pStyle w:val="BodyText"/>
      </w:pPr>
      <w:r>
        <w:t xml:space="preserve">Ellis, G. F. R. (2016).</w:t>
      </w:r>
      <w:r>
        <w:t xml:space="preserve"> </w:t>
      </w:r>
      <w:r>
        <w:rPr>
          <w:i/>
          <w:iCs/>
        </w:rPr>
        <w:t xml:space="preserve">How can physics underlie the mind? Top-down causation in the human context</w:t>
      </w:r>
      <w:r>
        <w:t xml:space="preserve">. Springer.</w:t>
      </w:r>
    </w:p>
    <w:p>
      <w:pPr>
        <w:pStyle w:val="BodyText"/>
      </w:pPr>
      <w:r>
        <w:t xml:space="preserve">Ellis, G. F. R., &amp; Drossel, B. (2019). How downwards causation occurs in digital computers.</w:t>
      </w:r>
      <w:r>
        <w:t xml:space="preserve"> </w:t>
      </w:r>
      <w:r>
        <w:rPr>
          <w:i/>
          <w:iCs/>
        </w:rPr>
        <w:t xml:space="preserve">Foundations of Physics</w:t>
      </w:r>
      <w:r>
        <w:t xml:space="preserve">, 49(11), 1253–1277.</w:t>
      </w:r>
    </w:p>
    <w:p>
      <w:pPr>
        <w:pStyle w:val="BodyText"/>
      </w:pPr>
      <w:r>
        <w:t xml:space="preserve">Ellis, G. F. R., &amp; Drossel, B. (2020). Contextual wavefunction collapse: An integrated theory of quantum measurement.</w:t>
      </w:r>
      <w:r>
        <w:t xml:space="preserve"> </w:t>
      </w:r>
      <w:r>
        <w:rPr>
          <w:i/>
          <w:iCs/>
        </w:rPr>
        <w:t xml:space="preserve">New Journal of Physics</w:t>
      </w:r>
      <w:r>
        <w:t xml:space="preserve">, 22, 033051.</w:t>
      </w:r>
    </w:p>
    <w:p>
      <w:pPr>
        <w:pStyle w:val="BodyText"/>
      </w:pPr>
      <w:r>
        <w:t xml:space="preserve">Gödel, K. (1931). Über formal unentscheidbare Sätze der Principia Mathematica und verwandter Systeme I.</w:t>
      </w:r>
      <w:r>
        <w:t xml:space="preserve"> </w:t>
      </w:r>
      <w:r>
        <w:rPr>
          <w:i/>
          <w:iCs/>
        </w:rPr>
        <w:t xml:space="preserve">Monatshefte für Mathematik und Physik</w:t>
      </w:r>
      <w:r>
        <w:t xml:space="preserve">, 38, 173–198.</w:t>
      </w:r>
    </w:p>
    <w:p>
      <w:pPr>
        <w:pStyle w:val="BodyText"/>
      </w:pPr>
      <w:r>
        <w:t xml:space="preserve">Hofstadter, D. R. (1979).</w:t>
      </w:r>
      <w:r>
        <w:t xml:space="preserve"> </w:t>
      </w:r>
      <w:r>
        <w:rPr>
          <w:i/>
          <w:iCs/>
        </w:rPr>
        <w:t xml:space="preserve">Gödel, Escher, Bach: An eternal golden braid</w:t>
      </w:r>
      <w:r>
        <w:t xml:space="preserve">. Basic Books.</w:t>
      </w:r>
    </w:p>
    <w:p>
      <w:pPr>
        <w:pStyle w:val="BodyText"/>
      </w:pPr>
      <w:r>
        <w:t xml:space="preserve">Lakatos, I. (1978).</w:t>
      </w:r>
      <w:r>
        <w:t xml:space="preserve"> </w:t>
      </w:r>
      <w:r>
        <w:rPr>
          <w:i/>
          <w:iCs/>
        </w:rPr>
        <w:t xml:space="preserve">The methodology of scientific research programmes</w:t>
      </w:r>
      <w:r>
        <w:t xml:space="preserve"> </w:t>
      </w:r>
      <w:r>
        <w:t xml:space="preserve">(Philosophical papers, Vol. 1). Cambridge University Press.</w:t>
      </w:r>
    </w:p>
    <w:p>
      <w:pPr>
        <w:pStyle w:val="BodyText"/>
      </w:pPr>
      <w:r>
        <w:t xml:space="preserve">Lawvere, F. W. (1969). Diagonal arguments and Cartesian closed categories. In</w:t>
      </w:r>
      <w:r>
        <w:t xml:space="preserve"> </w:t>
      </w:r>
      <w:r>
        <w:rPr>
          <w:i/>
          <w:iCs/>
        </w:rPr>
        <w:t xml:space="preserve">Category Theory, Homology Theory and their Applications II</w:t>
      </w:r>
      <w:r>
        <w:t xml:space="preserve"> </w:t>
      </w:r>
      <w:r>
        <w:t xml:space="preserve">(Lecture Notes in Mathematics, vol. 92, pp. 134–145). Springer. Reprinted with author commentary (2006),</w:t>
      </w:r>
      <w:r>
        <w:t xml:space="preserve"> </w:t>
      </w:r>
      <w:r>
        <w:rPr>
          <w:i/>
          <w:iCs/>
        </w:rPr>
        <w:t xml:space="preserve">Reprints in Theory and Applications of Categories</w:t>
      </w:r>
      <w:r>
        <w:t xml:space="preserve">, 15, 1–13.</w:t>
      </w:r>
    </w:p>
    <w:p>
      <w:pPr>
        <w:pStyle w:val="BodyText"/>
      </w:pPr>
      <w:r>
        <w:t xml:space="preserve">Lateef, Y. (1981).</w:t>
      </w:r>
      <w:r>
        <w:t xml:space="preserve"> </w:t>
      </w:r>
      <w:r>
        <w:rPr>
          <w:i/>
          <w:iCs/>
        </w:rPr>
        <w:t xml:space="preserve">Repository of scales and melodic patterns</w:t>
      </w:r>
      <w:r>
        <w:t xml:space="preserve">. Fana Music.</w:t>
      </w:r>
    </w:p>
    <w:p>
      <w:pPr>
        <w:pStyle w:val="BodyText"/>
      </w:pPr>
      <w:r>
        <w:t xml:space="preserve">Nardelli, M. B. (2019). Topology of networks in generalized musical spaces. arXiv:1905.01842.</w:t>
      </w:r>
    </w:p>
    <w:p>
      <w:pPr>
        <w:pStyle w:val="BodyText"/>
      </w:pPr>
      <w:r>
        <w:t xml:space="preserve">Rice, H. G. (1953). Classes of recursively enumerable sets and their decision problems.</w:t>
      </w:r>
      <w:r>
        <w:t xml:space="preserve"> </w:t>
      </w:r>
      <w:r>
        <w:rPr>
          <w:i/>
          <w:iCs/>
        </w:rPr>
        <w:t xml:space="preserve">Transactions of the American Mathematical Society</w:t>
      </w:r>
      <w:r>
        <w:t xml:space="preserve">, 74(2), 358–366.</w:t>
      </w:r>
    </w:p>
    <w:p>
      <w:pPr>
        <w:pStyle w:val="BodyText"/>
      </w:pPr>
      <w:r>
        <w:t xml:space="preserve">Tymoczko, D. (2006). The geometry of musical chords.</w:t>
      </w:r>
      <w:r>
        <w:t xml:space="preserve"> </w:t>
      </w:r>
      <w:r>
        <w:rPr>
          <w:i/>
          <w:iCs/>
        </w:rPr>
        <w:t xml:space="preserve">Science</w:t>
      </w:r>
      <w:r>
        <w:t xml:space="preserve">, 313(5783), 72–74.</w:t>
      </w:r>
    </w:p>
    <w:p>
      <w:pPr>
        <w:pStyle w:val="BodyText"/>
      </w:pPr>
      <w:r>
        <w:t xml:space="preserve">Tymoczko, D. (2011).</w:t>
      </w:r>
      <w:r>
        <w:t xml:space="preserve"> </w:t>
      </w:r>
      <w:r>
        <w:rPr>
          <w:i/>
          <w:iCs/>
        </w:rPr>
        <w:t xml:space="preserve">A geometry of music: Harmony and counterpoint in the extended common practice</w:t>
      </w:r>
      <w:r>
        <w:t xml:space="preserve">. Oxford University Press.</w:t>
      </w:r>
    </w:p>
    <w:p>
      <w:pPr>
        <w:pStyle w:val="BodyText"/>
      </w:pPr>
      <w:r>
        <w:t xml:space="preserve">Tymoczko, D. (forthcoming). The concept of musical space.</w:t>
      </w:r>
      <w:r>
        <w:t xml:space="preserve"> </w:t>
      </w:r>
      <w:r>
        <w:rPr>
          <w:i/>
          <w:iCs/>
        </w:rPr>
        <w:t xml:space="preserve">Journal of Music Theory</w:t>
      </w:r>
      <w:r>
        <w:t xml:space="preserve">.</w:t>
      </w:r>
    </w:p>
    <w:p>
      <w:pPr>
        <w:pStyle w:val="BodyText"/>
      </w:pPr>
      <w:r>
        <w:t xml:space="preserve">Tymoczko, D. Personal correspondence. 2026.</w:t>
      </w:r>
    </w:p>
    <w:p>
      <w:pPr>
        <w:pStyle w:val="BodyText"/>
      </w:pPr>
      <w:r>
        <w:t xml:space="preserve">Wolfram, S. (2002).</w:t>
      </w:r>
      <w:r>
        <w:t xml:space="preserve"> </w:t>
      </w:r>
      <w:r>
        <w:rPr>
          <w:i/>
          <w:iCs/>
        </w:rPr>
        <w:t xml:space="preserve">A new kind of science</w:t>
      </w:r>
      <w:r>
        <w:t xml:space="preserve">. Wolfram Media.</w:t>
      </w:r>
    </w:p>
    <w:p>
      <w:pPr>
        <w:pStyle w:val="BodyText"/>
      </w:pPr>
      <w:r>
        <w:t xml:space="preserve">Yanofsky, N. S. (2003). A universal approach to self-referential paradoxes, incompleteness and fixed points.</w:t>
      </w:r>
      <w:r>
        <w:t xml:space="preserve"> </w:t>
      </w:r>
      <w:r>
        <w:rPr>
          <w:i/>
          <w:iCs/>
        </w:rPr>
        <w:t xml:space="preserve">The Bulletin of Symbolic Logic</w:t>
      </w:r>
      <w:r>
        <w:t xml:space="preserve">, 9(3), 362–386. arXiv:math/0305282.</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thefalsework/papers/issues/10"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thefalsework/papers/issues/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2026-04-23T20:15:28Z</dcterms:created>
  <dcterms:modified xsi:type="dcterms:W3CDTF">2026-04-23T20:15:28Z</dcterms:modified>
</cp:coreProperties>
</file>

<file path=docProps/custom.xml><?xml version="1.0" encoding="utf-8"?>
<Properties xmlns="http://schemas.openxmlformats.org/officeDocument/2006/custom-properties" xmlns:vt="http://schemas.openxmlformats.org/officeDocument/2006/docPropsVTypes"/>
</file>