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Kernels and Commas: A Structural Derivation of Universal Positions in Domains with Self-Limiting Generative Operations</w:t>
      </w:r>
    </w:p>
    <w:p>
      <w:pPr>
        <w:pStyle w:val="BodyText"/>
      </w:pPr>
      <w:r>
        <w:t xml:space="preserve">Chris Brink</w:t>
      </w:r>
    </w:p>
    <w:p>
      <w:pPr>
        <w:pStyle w:val="BodyText"/>
      </w:pPr>
      <w:r>
        <w:rPr>
          <w:b/>
          <w:bCs/>
        </w:rPr>
        <w:t xml:space="preserve">Chris Brink</w:t>
      </w:r>
    </w:p>
    <w:p>
      <w:pPr>
        <w:pStyle w:val="BodyText"/>
      </w:pPr>
      <w:r>
        <w:t xml:space="preserve">FalseWork (falsework.dev)</w:t>
      </w:r>
    </w:p>
    <w:p>
      <w:pPr>
        <w:pStyle w:val="BodyText"/>
      </w:pPr>
      <w:r>
        <w:rPr>
          <w:i/>
          <w:iCs/>
        </w:rPr>
        <w:t xml:space="preserve">Version 11.7. Revisions from version 11.6: § 1 adds an opening paragraph stating the framework’s underlying claim in one sentence — that in any field of practice, an irreducible productive asymmetry forces every act in the field to occupy a position in a structured space of resolution strategies generated by the asymmetry itself — and frames the apparatus of this paper (Incompleteness Condition, kernel, comma, five universal responses) as the unpacking of that claim at the level of practice. A forward-reference to Brink 2026c (v9.3) § 2 grounds the asymmetry as the propagated output of the distinction operation, distinguishing formal-asymmetry (the distinction operation’s output) from Level 0 process-asymmetry (the substrate the operation samples; Brink 2026d). No substantive revisions to the five-position derivation, the falsifiability conditions of § 3.3, the empirical demonstrations of § 4, or any validation hooks tracked since v11.4.</w:t>
      </w:r>
    </w:p>
    <w:p>
      <w:pPr>
        <w:pStyle w:val="BodyText"/>
      </w:pPr>
      <w:r>
        <w:rPr>
          <w:i/>
          <w:iCs/>
        </w:rPr>
        <w:t xml:space="preserve">Version 11.6. Revisions from version 11.5: Section 2.1 adds a candidate seventh domain — generative AI — for which the kernel-comma layer is independently derivable from Levin’s threshold-logic apparatus (Levin 2026a, 2026b) rather than postulated by structural-theoretical analogy as in the original six. Names the candidate kernel</w:t>
      </w:r>
      <w:r>
        <w:rPr>
          <w:i/>
          <w:iCs/>
        </w:rPr>
        <w:t xml:space="preserve"> </w:t>
      </w:r>
      <w:r>
        <w:rPr>
          <w:b/>
          <w:bCs/>
          <w:i/>
          <w:iCs/>
        </w:rPr>
        <w:t xml:space="preserve">The Threshold</w:t>
      </w:r>
      <w:r>
        <w:rPr>
          <w:i/>
          <w:iCs/>
        </w:rPr>
        <w:t xml:space="preserve"> </w:t>
      </w:r>
      <w:r>
        <w:rPr>
          <w:i/>
          <w:iCs/>
        </w:rPr>
        <w:t xml:space="preserve">(after Levin’s terminology) and the candidate comma as manifold-membership undecidability. Section 3 still presents the original six kernels; the seventh’s full four-criteria specification is deferred to a future revision pending external validation. Adds Levin (2026a) and Levin (2026b) to the References. Hedged</w:t>
      </w:r>
      <w:r>
        <w:rPr>
          <w:i/>
          <w:iCs/>
        </w:rPr>
        <w:t xml:space="preserve"> </w:t>
      </w:r>
      <w:r>
        <w:rPr>
          <w:rStyle w:val="VerbatimChar"/>
          <w:i/>
          <w:iCs/>
        </w:rPr>
        <w:t xml:space="preserve">[REVIEW: AI/ML researcher; Levin engagement ongoing]</w:t>
      </w:r>
      <w:r>
        <w:rPr>
          <w:i/>
          <w:iCs/>
        </w:rPr>
        <w:t xml:space="preserve"> </w:t>
      </w:r>
      <w:r>
        <w:rPr>
          <w:i/>
          <w:iCs/>
        </w:rPr>
        <w:t xml:space="preserve">and tracked as an open validation claim at</w:t>
      </w:r>
      <w:r>
        <w:rPr>
          <w:i/>
          <w:iCs/>
        </w:rPr>
        <w:t xml:space="preserve"> </w:t>
      </w:r>
      <w:r>
        <w:rPr>
          <w:rStyle w:val="VerbatimChar"/>
          <w:i/>
          <w:iCs/>
        </w:rPr>
        <w:t xml:space="preserve">validation/claims/threshold-kernel-candidate.md</w:t>
      </w:r>
      <w:r>
        <w:rPr>
          <w:i/>
          <w:iCs/>
        </w:rPr>
        <w:t xml:space="preserve">. No substantive revisions to the five-position derivation, the falsifiability conditions of § 3.3, or the empirical demonstrations of § 4.</w:t>
      </w:r>
    </w:p>
    <w:p>
      <w:pPr>
        <w:pStyle w:val="BodyText"/>
      </w:pPr>
      <w:r>
        <w:rPr>
          <w:i/>
          <w:iCs/>
        </w:rPr>
        <w:t xml:space="preserve">Version 11.5. Revisions from version 11.4: Section 2 now identifies the Cantor and Gödel groundings as two instances of Lawvere’s fixed-point theorem (Lawvere 1969; unification established in Yanofsky 2003, surveyed in Barreto 2025), and distinguishes Wolfram’s Principle of Computational Equivalence from the Cantor-Gödel pair as a universality-class claim whose consequences (halting problem, Rice’s theorem) are themselves Lawvere instances but which is not itself a fixed-point theorem. Section 2.1 adds a reformulation of the extension-to-practice question through a proposed correspondence between G ∧ R ∧ C and Lawvere’s categorical hypothesis, reframing the open question as the specification of the ambient cartesian closed category and endofunctor for each kernel. Both additions are flagged</w:t>
      </w:r>
      <w:r>
        <w:rPr>
          <w:i/>
          <w:iCs/>
        </w:rPr>
        <w:t xml:space="preserve"> </w:t>
      </w:r>
      <w:r>
        <w:rPr>
          <w:rStyle w:val="VerbatimChar"/>
          <w:i/>
          <w:iCs/>
        </w:rPr>
        <w:t xml:space="preserve">[REVIEW: category theorist]</w:t>
      </w:r>
      <w:r>
        <w:rPr>
          <w:i/>
          <w:iCs/>
        </w:rPr>
        <w:t xml:space="preserve"> </w:t>
      </w:r>
      <w:r>
        <w:rPr>
          <w:i/>
          <w:iCs/>
        </w:rPr>
        <w:t xml:space="preserve">and tracked as an open validation claim at</w:t>
      </w:r>
      <w:r>
        <w:rPr>
          <w:i/>
          <w:iCs/>
        </w:rPr>
        <w:t xml:space="preserve"> </w:t>
      </w:r>
      <w:r>
        <w:rPr>
          <w:rStyle w:val="VerbatimChar"/>
          <w:i/>
          <w:iCs/>
        </w:rPr>
        <w:t xml:space="preserve">validation/claims/lawvere-unification-of-formal-groundings.md</w:t>
      </w:r>
      <w:r>
        <w:rPr>
          <w:i/>
          <w:iCs/>
        </w:rPr>
        <w:t xml:space="preserve">. No substantive revisions to the five-position derivation, the falsifiability conditions of § 3.3, or the empirical demonstrations of § 4.</w:t>
      </w:r>
    </w:p>
    <w:p>
      <w:pPr>
        <w:pStyle w:val="BodyText"/>
      </w:pPr>
      <w:r>
        <w:rPr>
          <w:i/>
          <w:iCs/>
        </w:rPr>
        <w:t xml:space="preserve">Version 11.4. Revisions from version 11.3: new § 5.4 (</w:t>
      </w:r>
      <w:r>
        <w:rPr>
          <w:i/>
          <w:iCs/>
        </w:rPr>
        <w:t xml:space="preserve">“Scholarly Precedent for Domain-Dependent Formalism”</w:t>
      </w:r>
      <w:r>
        <w:rPr>
          <w:i/>
          <w:iCs/>
        </w:rPr>
        <w:t xml:space="preserve">) citing Ellis (2016) on multi-level emergence and Cartwright (1999) on the dappled-world thesis as independent philosophy-of-science precedent for the paper’s methodological commitment that different domains admit different degrees of formalism. The citations are presented as adjacent scholarly support rather than endorsement, flagged</w:t>
      </w:r>
      <w:r>
        <w:rPr>
          <w:i/>
          <w:iCs/>
        </w:rPr>
        <w:t xml:space="preserve"> </w:t>
      </w:r>
      <w:r>
        <w:rPr>
          <w:rStyle w:val="VerbatimChar"/>
          <w:i/>
          <w:iCs/>
        </w:rPr>
        <w:t xml:space="preserve">[REVIEW: philosopher of science]</w:t>
      </w:r>
      <w:r>
        <w:rPr>
          <w:i/>
          <w:iCs/>
        </w:rPr>
        <w:t xml:space="preserve">, and tracked as an open validation claim at</w:t>
      </w:r>
      <w:r>
        <w:rPr>
          <w:i/>
          <w:iCs/>
        </w:rPr>
        <w:t xml:space="preserve"> </w:t>
      </w:r>
      <w:r>
        <w:rPr>
          <w:rStyle w:val="VerbatimChar"/>
          <w:i/>
          <w:iCs/>
        </w:rPr>
        <w:t xml:space="preserve">validation/claims/ellis-cartwright-philosophical-support.md</w:t>
      </w:r>
      <w:r>
        <w:rPr>
          <w:i/>
          <w:iCs/>
        </w:rPr>
        <w:t xml:space="preserve"> </w:t>
      </w:r>
      <w:r>
        <w:rPr>
          <w:i/>
          <w:iCs/>
        </w:rPr>
        <w:t xml:space="preserve">(GitHub issue</w:t>
      </w:r>
      <w:r>
        <w:rPr>
          <w:i/>
          <w:iCs/>
        </w:rPr>
        <w:t xml:space="preserve"> </w:t>
      </w:r>
      <w:hyperlink r:id="rId9">
        <w:r>
          <w:rPr>
            <w:rStyle w:val="Hyperlink"/>
            <w:i/>
            <w:iCs/>
          </w:rPr>
          <w:t xml:space="preserve">#10</w:t>
        </w:r>
      </w:hyperlink>
      <w:r>
        <w:rPr>
          <w:i/>
          <w:iCs/>
        </w:rPr>
        <w:t xml:space="preserve">). No substantive revisions to the five-position derivation, the falsifiability conditions of § 3.3, or the empirical demonstrations of § 4.</w:t>
      </w:r>
    </w:p>
    <w:p>
      <w:pPr>
        <w:pStyle w:val="BodyText"/>
      </w:pPr>
      <w:r>
        <w:rPr>
          <w:i/>
          <w:iCs/>
        </w:rPr>
        <w:t xml:space="preserve">Version 11.3. Revisions from version 11.2: Section 2 now defers to Brink 2026d (v5.0) § 2.5 as the canonical cumulative statement of the Cantor extension’s [REQUIRES FORMAL VALIDATION] status across the four-paper series, and carries a forward-reference to Brink 2026c (v9.0) § 4 for the Russell-type / Gödel-type distinction applied to the Incompleteness Condition and all subsequent commas in the framework. No substantive changes to the five-position derivation or to the falsifiability conditions of Section 3.3.</w:t>
      </w:r>
    </w:p>
    <w:bookmarkStart w:id="10" w:name="abstract"/>
    <w:p>
      <w:pPr>
        <w:pStyle w:val="Heading2"/>
      </w:pPr>
      <w:r>
        <w:t xml:space="preserve">Abstract</w:t>
      </w:r>
    </w:p>
    <w:p>
      <w:pPr>
        <w:pStyle w:val="FirstParagraph"/>
      </w:pPr>
      <w:r>
        <w:t xml:space="preserve">Every domain of sustained human practice organized around a minimal generative operation encounters a structural limit it cannot resolve from within its own rules. This paper proposes that this structure — a self-limiting generative operation producing its own incompleteness — recurs across domains not by historical coincidence but because it follows from the relationship between generative sufficiency and formal completeness. We formalize this as the Incompleteness Condition: any system satisfying generative sufficiency (G), self-reference (R), and compositional closure (C) contains at least one construct undecidable within its own rules. This condition is demonstrated for formal systems (Gödel 1931) and computational systems (Wolfram 2002); its extension to domains of creative and scientific practice is proposed as a hypothesis tested through the kernel framework rather than proven from first principles. The condition instantiates locally in each domain as a kernel — the minimal self-limiting generative operation — and generates a specific irresolvable gap, which we term the comma after the Pythagorean comma in music theory. We then derive, from a predicate partition over a target space with three components (field, geometry of the comma, limit) — where the three components correspond to the three and only three spatial relations to a boundary (interior, boundary structure, boundary itself) — five and only five structurally distinct positions: Infrastructure, Distribution, Exploitation, Commitment, and Refusal. We propose these five positions are mutually exclusive, collectively exhaustive, and domain-agnostic — the same topology appears across music, cinema, architecture, literature, software, and physics because the derivation applies wherever a kernel exists. Empirical grounding is provided through four demonstrations: independent corroboration of FalseWork’s three-way Coltrane discrimination by music theorist Dmitri Tymoczko, whose geometric framework maps the same three works onto the same three structural fields from a different analytical starting point; discrimination between two works sharing identical three-axis classifications (Hitchcock’s</w:t>
      </w:r>
      <w:r>
        <w:t xml:space="preserve"> </w:t>
      </w:r>
      <w:r>
        <w:rPr>
          <w:i/>
          <w:iCs/>
        </w:rPr>
        <w:t xml:space="preserve">Psycho</w:t>
      </w:r>
      <w:r>
        <w:t xml:space="preserve"> </w:t>
      </w:r>
      <w:r>
        <w:t xml:space="preserve">shower scene and Eisenstein’s Odessa Steps sequence) by exploitation target within the cinema kernel; a cross-domain structural comparison at full resolution; and a proxy feature program demonstration showing that structural positions are recoverable from measurable formal properties and that proxy failure reveals internal structure of the comma the theoretical definition had not fully specified. The paper identifies three open problems: the corpus-level Commitment classification gap, open calibration questions in the proxy feature program, and the epistemic dependency problem — the structural consequence of a classification pipeline trained on the theoretical traditions it classifies within.</w:t>
      </w:r>
    </w:p>
    <w:bookmarkEnd w:id="10"/>
    <w:bookmarkStart w:id="11" w:name="introduction"/>
    <w:p>
      <w:pPr>
        <w:pStyle w:val="Heading2"/>
      </w:pPr>
      <w:r>
        <w:t xml:space="preserve">1. Introduction</w:t>
      </w:r>
    </w:p>
    <w:p>
      <w:pPr>
        <w:pStyle w:val="FirstParagraph"/>
      </w:pPr>
      <w:r>
        <w:t xml:space="preserve">The framework’s underlying claim, in one sentence: in any field of practice, an irreducible productive asymmetry forces every act in the field to occupy a position in a structured space of resolution strategies generated by the asymmetry itself. The apparatus of this paper — the Incompleteness Condition, the kernel, the comma, and the five universal responses — is what that single claim unpacks at the level of practice. The deeper grounding, that the asymmetry at the level of practice is itself the propagated output of the distinction operation sampling a Level-0 process-asymmetric substrate, is developed in Brink 2026c (v9.3) § 2 and Brink 2026d. The principle is consistent with both: at the level of practice, the asymmetry a kernel introduces forces every act in the field into a position; at the deeper level, that asymmetry is what the distinction operation produces and propagates from Level 1 through Level 6.</w:t>
      </w:r>
    </w:p>
    <w:p>
      <w:pPr>
        <w:pStyle w:val="BodyText"/>
      </w:pPr>
      <w:r>
        <w:t xml:space="preserve">The history of any domain of sustained human practice is, at some level, a history of responses to a structural problem the domain did not choose. Western tonal music has managed the same irresolvable gap for five centuries. Cinema has organized itself around the same generative tension since the first splice. Architecture has negotiated the same incommensurability between structural necessity and experiential intention since the first wall bore the first load. These are not different problems sharing a family resemblance. This paper proposes they are the same problem instantiated in different material substrates.</w:t>
      </w:r>
    </w:p>
    <w:p>
      <w:pPr>
        <w:pStyle w:val="BodyText"/>
      </w:pPr>
      <w:r>
        <w:t xml:space="preserve">The proposal is not analogical. It is structural. A domain organized around a minimal generative operation — an operation prior to any practitioner’s choices, capable of generating the entire field of possibility in the domain, and inescapable by any non-trivial instance of the domain — will produce, at the limit of that operation’s own logic, an irresolvable gap. The gap is not contingent on the domain’s history or material substrate. It is a structural consequence of the relationship between generative sufficiency and formal completeness, formalized here as the Incompleteness Condition. The operation is what we call a kernel. The gap is what we call a comma, after the Pythagorean comma in music theory — the 23.46-cent discrepancy produced when twelve successive perfect fifths fail to return to the origin pitch.</w:t>
      </w:r>
    </w:p>
    <w:p>
      <w:pPr>
        <w:pStyle w:val="BodyText"/>
      </w:pPr>
      <w:r>
        <w:t xml:space="preserve">Given a kernel and its comma, what structural positions are available to practitioners? The answer is not empirically discovered — it is derived.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We propose these positions are mutually exclusive and collectively exhaustive — not as an observed pattern but as a logical consequence of the structure of the problem. The same five positions appear across music, cinema, architecture, literature, software, and physics not because these domains share historical influence or surface resemblance but because the derivation applies wherever a kernel exists.</w:t>
      </w:r>
    </w:p>
    <w:p>
      <w:pPr>
        <w:pStyle w:val="BodyText"/>
      </w:pPr>
      <w:r>
        <w:t xml:space="preserve">This claim is falsifiable on two conditions. First: if a non-trivial work in any domain can be shown to occupy a position not reducible to one of the five, the derivation is incomplete. Second: if a domain with a kernel consistently produces classification failures across a large corpus, the kernel definition is wrong. The framework proposes that classification failure is diagnostic — it identifies errors in kernel definition rather than exceptions to the topology. Four empirical demonstrations are provided: independent corroboration of FalseWork’s three-way Coltrane discrimination by music theorist Dmitri Tymoczko (Princeton University), whose geometric framework independently maps the same three works onto the same three structural fields (Tymoczko 2011); a discrimination between two works sharing identical three-axis classifications by exploitation target within the cinema kernel, grounded in film perception researcher James Cutting’s (Cornell University) empirical taxonomy of cinematic forms (Cutting, forthcoming); a cross-domain structural comparison at full resolution; and a proxy feature program demonstration testing whether structural positions are recoverable from measurable formal properties. Three open problems are identified, including the epistemic dependency problem — the structural consequence of a classification pipeline trained on the theoretical traditions it classifies within.</w:t>
      </w:r>
    </w:p>
    <w:p>
      <w:pPr>
        <w:pStyle w:val="BodyText"/>
      </w:pPr>
      <w:r>
        <w:t xml:space="preserve">The framework is implemented as a computational classification instrument at FalseWork (Brink 2026). The platform is the operational demonstration; this paper is the theoretical argument.</w:t>
      </w:r>
    </w:p>
    <w:bookmarkEnd w:id="11"/>
    <w:bookmarkStart w:id="14" w:name="the-incompleteness-condition"/>
    <w:p>
      <w:pPr>
        <w:pStyle w:val="Heading2"/>
      </w:pPr>
      <w:r>
        <w:t xml:space="preserve">2. The Incompleteness Condition</w:t>
      </w:r>
    </w:p>
    <w:p>
      <w:pPr>
        <w:pStyle w:val="FirstParagraph"/>
      </w:pPr>
      <w:r>
        <w:t xml:space="preserve">We begin with a formal condition that grounds the kernel concept across domains. Let S be a formal system satisfying three properties:</w:t>
      </w:r>
    </w:p>
    <w:p>
      <w:pPr>
        <w:pStyle w:val="BodyText"/>
      </w:pPr>
      <w:r>
        <w:rPr>
          <w:b/>
          <w:bCs/>
        </w:rPr>
        <w:t xml:space="preserve">G — Generative sufficiency</w:t>
      </w:r>
      <w:r>
        <w:t xml:space="preserve"> </w:t>
      </w:r>
      <w:r>
        <w:t xml:space="preserve">— S can generate all compositional states of its domain.</w:t>
      </w:r>
      <w:r>
        <w:t xml:space="preserve"> </w:t>
      </w:r>
      <w:r>
        <w:rPr>
          <w:b/>
          <w:bCs/>
        </w:rPr>
        <w:t xml:space="preserve">R — Self-reference</w:t>
      </w:r>
      <w:r>
        <w:t xml:space="preserve"> </w:t>
      </w:r>
      <w:r>
        <w:t xml:space="preserve">— S’s rules can refer to outputs of other rules.</w:t>
      </w:r>
      <w:r>
        <w:t xml:space="preserve"> </w:t>
      </w:r>
      <w:r>
        <w:rPr>
          <w:b/>
          <w:bCs/>
        </w:rPr>
        <w:t xml:space="preserve">C — Compositional closure</w:t>
      </w:r>
      <w:r>
        <w:t xml:space="preserve"> </w:t>
      </w:r>
      <w:r>
        <w:t xml:space="preserve">— closure under composition generates constructs whose resolution requires simulation rather than analysis.</w:t>
      </w:r>
    </w:p>
    <w:p>
      <w:pPr>
        <w:pStyle w:val="BodyText"/>
      </w:pPr>
      <w:r>
        <w:rPr>
          <w:b/>
          <w:bCs/>
        </w:rPr>
        <w:t xml:space="preserve">Incompleteness Condition.</w:t>
      </w:r>
      <w:r>
        <w:t xml:space="preserve"> </w:t>
      </w:r>
      <w:r>
        <w:t xml:space="preserve">For all S satisfying G ∧ R ∧ C, there exists at least one construct undecidable within S.</w:t>
      </w:r>
    </w:p>
    <w:p>
      <w:pPr>
        <w:pStyle w:val="BodyText"/>
      </w:pPr>
      <w:r>
        <w:t xml:space="preserve">This condition has three independent groundings in the formal literature, each approaching it from a different direction.</w:t>
      </w:r>
    </w:p>
    <w:p>
      <w:pPr>
        <w:pStyle w:val="BodyText"/>
      </w:pPr>
      <w:r>
        <w:t xml:space="preserve">Cantor (1891) demonstrated the set-theoretic instantiation, which is the most elementary of the three and the one that makes the structural relationship between generative power and incompleteness most visible. The diagonal argument shows that for any enumerated list of infinite binary sequences, a new sequence can always be constructed by inverting the nth element of the nth sequence — producing a sequence that differs from every sequence on the list at at least one position. No enumeration of all binary sequences is complete. The construction is self-referential: it refers to the list it is trying to escape. Cantor’s theorem generalizes this result: for any set S, the power set P(S) — the set of all subsets of S — is strictly larger than S. There is no bijection between a set and its power set; the space of all possible subsets always exceeds the set that generates them. Applied to the Incompleteness Condition: any system satisfying G ∧ R ∧ C generates a field F whose boundary — the set of all possible structural relationships to F — is strictly larger than F itself. The system cannot enumerate its own limits from within because the space of possible resolutions of those limits categorically exceeds the system’s generative capacity. The comma is not merely an irresolvable gap. It is a gap of higher cardinality than the operation that produces it.</w:t>
      </w:r>
    </w:p>
    <w:p>
      <w:pPr>
        <w:pStyle w:val="BodyText"/>
      </w:pPr>
      <w:r>
        <w:t xml:space="preserve">A note on the scope of this claim: Cantor’s theorem is an established result in set theory and applies directly to formally defined sets with well-specified membership conditions. The application to domain kernels — treating F, the generative field of a kernel, as a set over which the power set theorem holds — is a proposed extension rather than a direct application. Whether the generative field of each kernel constitutes a well-defined set in the relevant formal sense is a question requiring engagement with a mathematician or formal logician before the claim can be advanced as a proven result rather than a structurally compelling proposal. What the theorem establishes directly is the set-theoretic and arithmetic-level irresolvability; its extension to domain practice is the framework’s hypothesis, consistent with the treatment of G ∧ R ∧ C throughout Section 2.1. The Cantor extension is invoked with increasing foundational load across subsequent papers in the series — applied to the space of analytical frames for a domain in Brink 2026b, to the epistemic position of knowledge-producing systems at Level 7 in Brink 2026c, and to the Level 0 comma at the formal residue of the first distinction in Brink 2026d. The canonical cumulative statement of this extension, naming the full four-place sequence and its shared [REQUIRES FORMAL VALIDATION] status, lives in Brink 2026d (v5.0) § 2.5; readers should calibrate the extension’s use throughout the series against that canonical formulation.</w:t>
      </w:r>
    </w:p>
    <w:p>
      <w:pPr>
        <w:pStyle w:val="BodyText"/>
      </w:pPr>
      <w:r>
        <w:t xml:space="preserve">Gödel (1931) demonstrated the arithmetic instantiation: any consistent formal system strong enough to express basic arithmetic contains true statements unprovable from within its own axioms. The system’s power and its incompleteness are not in tension — they are the same thing. A system weak enough to avoid incompleteness is too weak to generate the domain. A system powerful enough to generate the domain is powerful enough to generate statements about its own limits that it cannot resolve from within its own rules. Gödel’s conditions — consistent, recursively enumerable, sufficiently expressive — are a specific instantiation of G ∧ R ∧ C for formal arithmetic. A note on the kind of incompleteness the Condition refers to: it is Gödel-type productive incompleteness (an undecidable construct the system absorbs while remaining operative) rather than Russell-type inconsistency (a contradiction forcing formal system revision). The distinction matters — ZFC responded to Russell’s paradox by restricting comprehension; Peano arithmetic absorbed Gödel’s result without revision. The Incompleteness Condition as specified here, and the comma at every subsequent level of the framework, is Gödel-type throughout. The distinction is developed formally in Brink 2026c (v9.0) § 4.</w:t>
      </w:r>
    </w:p>
    <w:p>
      <w:pPr>
        <w:pStyle w:val="BodyText"/>
      </w:pPr>
      <w:r>
        <w:t xml:space="preserve">Wolfram (2002) demonstrated the computational instantiation through the Principle of Computational Equivalence: above a low threshold of complexity, all systems are computationally equivalent, and computationally equivalent systems are computationally irreducible — their outputs cannot be predicted without running the computation. The shortcut does not exist. The ceiling is structural, not contingent. Wolfram’s threshold is the point at which G ∧ R ∧ C is satisfied in computational systems; above it, undecidable constructs appear universally.</w:t>
      </w:r>
    </w:p>
    <w:p>
      <w:pPr>
        <w:pStyle w:val="BodyText"/>
      </w:pPr>
      <w:r>
        <w:t xml:space="preserve">Hofstadter (1979) provides the interpretive bridge between Gödel’s formal proof and its instantiation in complex systems. Strange loops and tangled hierarchies — the self-referential structures Hofstadter maps in formal systems, visual art, and music — are the phenomenology of the Incompleteness Condition operating, the experiential surface of a system encountering its own limits. GEB is not a third independent grounding alongside a formal proof and a computational principle; it is the account that makes the condition legible across registers.</w:t>
      </w:r>
    </w:p>
    <w:p>
      <w:pPr>
        <w:pStyle w:val="BodyText"/>
      </w:pPr>
      <w:r>
        <w:t xml:space="preserve">The three formal groundings are convergent rather than derived from each other. Cantor’s diagonal argument does not depend on Gödel’s proof or Wolfram’s principle. Gödel’s proof does not depend on Cantor’s set theory or Wolfram’s computational results. Wolfram’s principle does not depend on either. Each arrives at the same structural condition — that sufficiently powerful self-referential systems generate constructs undecidable within their own rules — from a different starting point in a different mathematical domain: set theory, arithmetic, computation. Their convergence across three independent domains is evidence that the condition is real rather than artifactual. The convergence of the three formal results is established. The extension of that convergence to domains of practice — the claim that creative and scientific domains satisfy the same structural condition — remains a hypothesis tested through the kernel framework, as Section 2.1 makes explicit. Hofstadter’s contribution is making that convergence legible: mapping the phenomenology that the three establish formally.</w:t>
      </w:r>
    </w:p>
    <w:p>
      <w:pPr>
        <w:pStyle w:val="BodyText"/>
      </w:pPr>
      <w:r>
        <w:rPr>
          <w:b/>
          <w:bCs/>
        </w:rPr>
        <w:t xml:space="preserve">Lawvere’s unification.</w:t>
      </w:r>
      <w:r>
        <w:t xml:space="preserve"> </w:t>
      </w:r>
      <w:r>
        <w:t xml:space="preserve">The convergence of Cantor and Gödel is tighter than independent co-occurrence. Both are instances of a single categorical theorem — Lawvere’s fixed-point theorem (Lawvere 1969) — whose unification role was established rigorously by Yanofsky (2003) and surveyed in Barreto (2025). Lawvere’s theorem asserts that in a cartesian closed category, the existence of a point-surjective map A → B^A combined with any endomorphism g: B → B with no fixed point produces a contradiction; contrapositively, the existence of such a g precludes the existence of such a map. Diagonal constructions are the standard technique for exhibiting endomorphisms with no fixed point in specific categories, which is why Cantor’s diagonal argument, Cantor’s theorem, Gödel’s first incompleteness theorem, Russell’s paradox, Turing’s undecidability of the halting problem, and Tarski’s undefinability theorem all fall out of the same categorical scheme. The Cantor-Gödel pair of the preceding paragraphs is therefore strengthened from</w:t>
      </w:r>
      <w:r>
        <w:t xml:space="preserve"> </w:t>
      </w:r>
      <w:r>
        <w:t xml:space="preserve">“independent convergence of two theorems”</w:t>
      </w:r>
      <w:r>
        <w:t xml:space="preserve"> </w:t>
      </w:r>
      <w:r>
        <w:t xml:space="preserve">to</w:t>
      </w:r>
      <w:r>
        <w:t xml:space="preserve"> </w:t>
      </w:r>
      <w:r>
        <w:t xml:space="preserve">“two instances of one categorical theorem”</w:t>
      </w:r>
      <w:r>
        <w:t xml:space="preserve"> </w:t>
      </w:r>
      <w:r>
        <w:t xml:space="preserve">— the convergence is structurally required, not merely observed. Wolfram’s (2002) Principle of Computational Equivalence remains an independent grounding in a weaker sense. PCE is a universality-class claim (above a low complexity threshold, systems are computationally complete) rather than a fixed-point theorem; the undecidability results that attach to Turing-complete systems (the halting problem, Rice 1953) are themselves Lawvere instances, but PCE itself asserts the pervasiveness of systems to which those Lawvere instances apply rather than being such an instance directly. The Cantor-Gödel-Wolfram triple is more precisely described as two direct instances of Lawvere’s theorem plus one universality claim whose consequences include Lawvere instances.</w:t>
      </w:r>
      <w:r>
        <w:t xml:space="preserve"> </w:t>
      </w:r>
      <w:r>
        <w:rPr>
          <w:rStyle w:val="VerbatimChar"/>
        </w:rPr>
        <w:t xml:space="preserve">[REVIEW: category theorist]</w:t>
      </w:r>
      <w:r>
        <w:t xml:space="preserve"> </w:t>
      </w:r>
      <w:r>
        <w:t xml:space="preserve">Substantive reformulation of § 2; specialist validation required for (a) the Cantor-Gödel-as-Lawvere-instances identification, (b) the distinction of Wolfram’s PCE from Lawvere instances, and (c) the further claim in § 2.1 below. Validation hook:</w:t>
      </w:r>
      <w:r>
        <w:t xml:space="preserve"> </w:t>
      </w:r>
      <w:r>
        <w:rPr>
          <w:rStyle w:val="VerbatimChar"/>
        </w:rPr>
        <w:t xml:space="preserve">validation/claims/lawvere-unification-of-formal-groundings.md</w:t>
      </w:r>
      <w:r>
        <w:t xml:space="preserve">.</w:t>
      </w:r>
    </w:p>
    <w:bookmarkStart w:id="13" w:name="extension-to-domains-of-practice"/>
    <w:p>
      <w:pPr>
        <w:pStyle w:val="Heading3"/>
      </w:pPr>
      <w:r>
        <w:t xml:space="preserve">2.1 Extension to Domains of Practice</w:t>
      </w:r>
    </w:p>
    <w:p>
      <w:pPr>
        <w:pStyle w:val="FirstParagraph"/>
      </w:pPr>
      <w:r>
        <w:t xml:space="preserve">FalseWork proposes that the Incompleteness Condition extends beyond formal systems to all domains of sustained human practice organized around a minimal generative operation. This extension is a hypothesis rather than a proof — it generalizes results from formal systems and computation and is treated here as a claim to be tested across domains rather than a theorem derived from first principles.</w:t>
      </w:r>
    </w:p>
    <w:p>
      <w:pPr>
        <w:pStyle w:val="BodyText"/>
      </w:pPr>
      <w:r>
        <w:t xml:space="preserve">The extension claim rests on a structural observation: domains of sustained human practice that generate complexity exhibit the same three properties that produce incompleteness in formal systems. A sufficiently generative domain operation (G) applied iteratively to its own outputs (R) generates constructs whose resolution requires full traversal of the generative process rather than analytical shortcut (C). When G ∧ R ∧ C is satisfied in a domain of practice, the Incompleteness Condition follows — not as a formal proof but as a structural consequence of the same relationship between generative power and formal completeness that Gödel demonstrated for arithmetic. A note on formalism: G, R, and C are precisely defined predicates in the Gödel and Wolfram cases. In the extension to practice domains they are structural analogs — the notation is borrowed, not inherited. The argument is that the structural relationship between generative power and formal completeness holds in practice domains for the same reason it holds in formal systems, not that the extension is a theorem derivable from Gödel’s or Wolfram’s results.</w:t>
      </w:r>
    </w:p>
    <w:p>
      <w:pPr>
        <w:pStyle w:val="BodyText"/>
      </w:pPr>
      <w:r>
        <w:rPr>
          <w:b/>
          <w:bCs/>
        </w:rPr>
        <w:t xml:space="preserve">G ∧ R ∧ C as a domain-facing analog of Lawvere’s hypothesis.</w:t>
      </w:r>
      <w:r>
        <w:t xml:space="preserve"> </w:t>
      </w:r>
      <w:r>
        <w:t xml:space="preserve">The Lawvere reframing of § 2 permits a more precise statement of the extension-to-practice problem. G ∧ R ∧ C is a domain-facing analog of Lawvere’s categorical hypothesis: G (generative sufficiency) corresponds to the existence of the function space B^A as an object in the ambient category, R (self-reference) corresponds to the point-surjective map A → B^A, and C (compositional closure) corresponds to cartesian closure. For formal systems and Turing-complete computational systems the ambient category and the relevant maps are well-specified, and the Incompleteness Condition follows as a consequence of Lawvere’s theorem. For domains of practice the correspondence remains a structural analogy: the ambient category is not yet specified across all six kernels. Brink (2026c) undertakes this specification for the music kernel —</w:t>
      </w:r>
      <w:r>
        <w:t xml:space="preserve"> </w:t>
      </w:r>
      <w:r>
        <w:rPr>
          <w:rStyle w:val="VerbatimChar"/>
        </w:rPr>
        <w:t xml:space="preserve">FinSub(ℝ/ℤ)</w:t>
      </w:r>
      <w:r>
        <w:t xml:space="preserve"> </w:t>
      </w:r>
      <w:r>
        <w:t xml:space="preserve">as the ambient category,</w:t>
      </w:r>
      <w:r>
        <w:t xml:space="preserve"> </w:t>
      </w:r>
      <w:r>
        <w:rPr>
          <w:rStyle w:val="VerbatimChar"/>
        </w:rPr>
        <w:t xml:space="preserve">D(X) = X ∪ (X + α)</w:t>
      </w:r>
      <w:r>
        <w:t xml:space="preserve"> </w:t>
      </w:r>
      <w:r>
        <w:t xml:space="preserve">as the endofunctor of interest — where Lambek’s lemma (the initial-algebra theorem sitting adjacent to Lawvere’s fixed-point theorem in the same categorical neighborhood) does the work of locating the comma as the absence of a terminal coalgebra. The analogous categorical specification for the cinema, architecture, literature, software, and physics kernels is open research. Reframed through Lawvere, the extension question is no longer</w:t>
      </w:r>
      <w:r>
        <w:t xml:space="preserve"> </w:t>
      </w:r>
      <w:r>
        <w:t xml:space="preserve">“does G ∧ R ∧ C hold analogously in practice domains?”</w:t>
      </w:r>
      <w:r>
        <w:t xml:space="preserve"> </w:t>
      </w:r>
      <w:r>
        <w:t xml:space="preserve">but</w:t>
      </w:r>
      <w:r>
        <w:t xml:space="preserve"> </w:t>
      </w:r>
      <w:r>
        <w:t xml:space="preserve">“in what cartesian closed category does each kernel live, and what is the endofunctor whose lack of fixed point produces the domain’s comma?”</w:t>
      </w:r>
      <w:r>
        <w:t xml:space="preserve"> </w:t>
      </w:r>
      <w:r>
        <w:t xml:space="preserve">This is a stronger and more tractable question than its predecessor.</w:t>
      </w:r>
      <w:r>
        <w:t xml:space="preserve"> </w:t>
      </w:r>
      <w:r>
        <w:rPr>
          <w:rStyle w:val="VerbatimChar"/>
        </w:rPr>
        <w:t xml:space="preserve">[REVIEW: category theorist]</w:t>
      </w:r>
      <w:r>
        <w:t xml:space="preserve"> </w:t>
      </w:r>
      <w:r>
        <w:t xml:space="preserve">Speculative reformulation of § 2.1’s open problem; specialist validation required. Validation hook:</w:t>
      </w:r>
      <w:r>
        <w:t xml:space="preserve"> </w:t>
      </w:r>
      <w:r>
        <w:rPr>
          <w:rStyle w:val="VerbatimChar"/>
        </w:rPr>
        <w:t xml:space="preserve">validation/claims/lawvere-unification-of-formal-groundings.md</w:t>
      </w:r>
      <w:r>
        <w:t xml:space="preserve">.</w:t>
      </w:r>
    </w:p>
    <w:p>
      <w:pPr>
        <w:pStyle w:val="BodyText"/>
      </w:pPr>
      <w:r>
        <w:rPr>
          <w:b/>
          <w:bCs/>
        </w:rPr>
        <w:t xml:space="preserve">A candidate seventh domain: GenAI under Levin’s threshold-logic mechanism.</w:t>
      </w:r>
      <w:r>
        <w:t xml:space="preserve"> </w:t>
      </w:r>
      <w:r>
        <w:t xml:space="preserve">Recent independent work by Levin (2026a, 2026b) supplies, for the GenAI medium specifically, the kind of mechanism-level formal grounding that this section’s extension hypothesizes for the original six domains. The threshold-logic paper (Levin 2026b) develops the phase transition from logical to indexical processing at sufficiently high dimensionality, with Cover’s theorem, concentration of measure, near-orthogonality, and manifold regularity supplying the mathematical apparatus.</w:t>
      </w:r>
      <w:r>
        <w:t xml:space="preserve"> </w:t>
      </w:r>
      <w:r>
        <w:rPr>
          <w:i/>
          <w:iCs/>
        </w:rPr>
        <w:t xml:space="preserve">The Geometry of Knowing</w:t>
      </w:r>
      <w:r>
        <w:t xml:space="preserve"> </w:t>
      </w:r>
      <w:r>
        <w:t xml:space="preserve">(Levin 2026a) develops its epistemological consequences. Together they derive — rather than postulate by structural-theoretical analogy — why the GenAI medium produces a structural gap that cannot be closed from within: the manifold-membership undecidability, formally present as the indistinguishability from inside the navigational regime of faithful navigation (on-manifold) from creative or hallucinatory departure (off-manifold). Read against the framework’s kernel-comma structure, this identifies a candidate seventh kernel — provisionally</w:t>
      </w:r>
      <w:r>
        <w:t xml:space="preserve"> </w:t>
      </w:r>
      <w:r>
        <w:rPr>
          <w:b/>
          <w:bCs/>
        </w:rPr>
        <w:t xml:space="preserve">The Threshold</w:t>
      </w:r>
      <w:r>
        <w:t xml:space="preserve">, after Levin’s terminology — with its candidate comma being the manifold-membership undecidability. The candidate sits at validation status parallel to The Cut: mechanism-level formal grounding from external work (here Levin’s apparatus, parallel in role to Tymoczko’s voice-leading geometry for The Fifth or Cutting’s empirical taxonomy for The Cut), with full four-criteria specification deferred to a future revision. The substantive claim is that for this one domain the extension does not rest on structural analogy. Whether the four kernel criteria fully validate, whether manifold-membership undecidability is the correct comma formulation, and whether the five-position topology applies to observable GenAI practitioner stances are open research directions tracked at</w:t>
      </w:r>
      <w:r>
        <w:t xml:space="preserve"> </w:t>
      </w:r>
      <w:hyperlink r:id="rId12">
        <w:r>
          <w:rPr>
            <w:rStyle w:val="VerbatimChar"/>
          </w:rPr>
          <w:t xml:space="preserve">validation/claims/threshold-kernel-candidate.md</w:t>
        </w:r>
      </w:hyperlink>
      <w:r>
        <w:t xml:space="preserve">.</w:t>
      </w:r>
      <w:r>
        <w:t xml:space="preserve"> </w:t>
      </w:r>
      <w:r>
        <w:rPr>
          <w:rStyle w:val="VerbatimChar"/>
        </w:rPr>
        <w:t xml:space="preserve">[REVIEW: AI/ML researcher; Levin engagement ongoing]</w:t>
      </w:r>
      <w:r>
        <w:t xml:space="preserve"> </w:t>
      </w:r>
      <w:r>
        <w:t xml:space="preserve">Speculative extension of § 2.1’s reach to a domain whose mechanism layer is independently derived rather than analogically postulated; specialist validation required.</w:t>
      </w:r>
    </w:p>
    <w:p>
      <w:pPr>
        <w:pStyle w:val="BodyText"/>
      </w:pPr>
      <w:r>
        <w:t xml:space="preserve">The domain-specific instantiation of the Incompleteness Condition is the kernel — the minimal self-limiting generative operation that organizes the domain and generates, at its own limit, a construct it cannot resolve from within its own rules. The following section defines the kernel precisely and identifies six instantiations across the original six domains. The candidate seventh kernel proposed at the end of § 2.1 is not specified here at the same level of detail; its full four-criteria specification is deferred to a future revision pending the validation work tracked at</w:t>
      </w:r>
      <w:r>
        <w:t xml:space="preserve"> </w:t>
      </w:r>
      <w:hyperlink r:id="rId12">
        <w:r>
          <w:rPr>
            <w:rStyle w:val="VerbatimChar"/>
          </w:rPr>
          <w:t xml:space="preserve">validation/claims/threshold-kernel-candidate.md</w:t>
        </w:r>
      </w:hyperlink>
      <w:r>
        <w:t xml:space="preserve">.</w:t>
      </w:r>
    </w:p>
    <w:bookmarkEnd w:id="13"/>
    <w:bookmarkEnd w:id="14"/>
    <w:bookmarkStart w:id="20" w:name="kernels-and-commas"/>
    <w:p>
      <w:pPr>
        <w:pStyle w:val="Heading2"/>
      </w:pPr>
      <w:r>
        <w:t xml:space="preserve">3. Kernels and Commas</w:t>
      </w:r>
    </w:p>
    <w:p>
      <w:pPr>
        <w:pStyle w:val="FirstParagraph"/>
      </w:pPr>
      <w:r>
        <w:t xml:space="preserve">The kernel concept and the five-position topology that follows are conditional on the extension proposed in Section 2.1. If the extension fails — if domains of practice do not satisfy G ∧ R ∧ C — the topology fails with it. The framework treats the extension as testable through classification performance across domains rather than provable from first principles. Everything in this section and beyond is downstream of that conditional.</w:t>
      </w:r>
    </w:p>
    <w:p>
      <w:pPr>
        <w:pStyle w:val="BodyText"/>
      </w:pPr>
      <w:r>
        <w:t xml:space="preserve">A kernel is the minimal self-limiting generative operation of a domain. Four criteria define a kernel jointly; all four must be satisfied for a candidate operation to qualify.</w:t>
      </w:r>
    </w:p>
    <w:p>
      <w:pPr>
        <w:pStyle w:val="BodyText"/>
      </w:pPr>
      <w:r>
        <w:rPr>
          <w:b/>
          <w:bCs/>
        </w:rPr>
        <w:t xml:space="preserve">Prior.</w:t>
      </w:r>
      <w:r>
        <w:t xml:space="preserve"> </w:t>
      </w:r>
      <w:r>
        <w:t xml:space="preserve">The kernel exists as a structural possibility before any practitioner’s choices. It is not invented by practitioners — it precedes individual works within the domain. The 3:2 frequency ratio is a physical property of vibrating bodies derivable from the harmonic series before any compositional decision. The cut exists as a structural possibility the moment two separate recordings can be placed in sequence — Méliès and Porter did not invent the cut; they discovered it as the condition their medium imposed. Gravity operates on mass before any building is conceived. A kernel candidate fails the prior criterion if its existence depends on practitioners having chosen to use it.</w:t>
      </w:r>
    </w:p>
    <w:p>
      <w:pPr>
        <w:pStyle w:val="BodyText"/>
      </w:pPr>
      <w:r>
        <w:rPr>
          <w:b/>
          <w:bCs/>
        </w:rPr>
        <w:t xml:space="preserve">Monogenic.</w:t>
      </w:r>
      <w:r>
        <w:t xml:space="preserve"> </w:t>
      </w:r>
      <w:r>
        <w:t xml:space="preserve">The entire field of structural possibility in the domain is generated by compositions and navigations of the kernel. This criterion applies to the structural field the kernel governs, not to every property of the domain. Stacking the single operation of multiplying a frequency by 3/2 and reducing to the octave generates all twelve chromatic pitch classes — one ratio produces the entire pitch universe. One operation — placing shot A adjacent to shot B — generates the entire field of cinematic syntax: match cut, jump cut, cross-cutting, montage sequence, shot/reverse-shot, parallel editing. A single force — gravitational pull on mass — generates the entire field of structural possibility: column, beam, arch, vault, dome, cantilever, truss, cable, shell, membrane. Light, sound, thermal behavior, and material texture are properties of their respective domains but not structural generators in the relevant sense: they do not produce the field of positions relative to the kernel’s comma. A kernel candidate fails the monogenic criterion if a second independent operation is required to generate the structural field the kernel is claimed to govern.</w:t>
      </w:r>
    </w:p>
    <w:p>
      <w:pPr>
        <w:pStyle w:val="BodyText"/>
      </w:pPr>
      <w:r>
        <w:rPr>
          <w:b/>
          <w:bCs/>
        </w:rPr>
        <w:t xml:space="preserve">Inescapable.</w:t>
      </w:r>
      <w:r>
        <w:t xml:space="preserve"> </w:t>
      </w:r>
      <w:r>
        <w:t xml:space="preserve">No non-trivial instance of the domain can be created without encountering the kernel. Paradigms that appear to eliminate the kernel implement it through other means — the kernel is concealed, not absent. Composers who avoid dominant-tonic relationships navigate the fifth by negating it; the negation is meaningful only because the fifth is the gravitational field being refused. Long-take filmmakers (Tarr, Sokurov) define their practice against the cut — the decision not to cut is structurally significant only because cutting is the expected condition the decision refuses. Architects who appear to defy gravity (Hadid’s cantilevers, Eisenman’s inverted columns) resolve load through concealed structural members — the kernel operates invisibly. A kernel candidate fails the inescapability criterion if a non-trivial instance of the domain can be constructed that genuinely does not encounter it.</w:t>
      </w:r>
    </w:p>
    <w:p>
      <w:pPr>
        <w:pStyle w:val="BodyText"/>
      </w:pPr>
      <w:r>
        <w:rPr>
          <w:b/>
          <w:bCs/>
        </w:rPr>
        <w:t xml:space="preserve">Self-limiting.</w:t>
      </w:r>
      <w:r>
        <w:t xml:space="preserve"> </w:t>
      </w:r>
      <w:r>
        <w:t xml:space="preserve">Following the kernel’s own generative logic to its limit produces an incommensurability — the comma — that the kernel cannot resolve from within its own rules. The operation generates the question and is incomplete enough to be unable to answer it. This criterion distinguishes a kernel from a merely generative operation: a kernel is generative precisely because it is incomplete.</w:t>
      </w:r>
    </w:p>
    <w:bookmarkStart w:id="15" w:name="the-comma"/>
    <w:p>
      <w:pPr>
        <w:pStyle w:val="Heading3"/>
      </w:pPr>
      <w:r>
        <w:t xml:space="preserve">3.1 The Comma</w:t>
      </w:r>
    </w:p>
    <w:p>
      <w:pPr>
        <w:pStyle w:val="FirstParagraph"/>
      </w:pPr>
      <w:r>
        <w:t xml:space="preserve">The comma — FalseWork’s term for the irresolvable gap the kernel generates at its own boundary — takes its name from the Pythagorean comma: the 23.46-cent discrepancy (frequency ratio 531441/524288) produced when twelve successive perfect fifths fail to return to the origin pitch. The fifth follows its own arithmetic to its limit and finds it does not close. The gap is structurally necessary, mathematically precise, and irresolvable within the fifth’s own logic.</w:t>
      </w:r>
    </w:p>
    <w:p>
      <w:pPr>
        <w:pStyle w:val="BodyText"/>
      </w:pPr>
      <w:r>
        <w:t xml:space="preserve">Three properties distinguish the comma from adjacent concepts:</w:t>
      </w:r>
    </w:p>
    <w:p>
      <w:pPr>
        <w:pStyle w:val="BodyText"/>
      </w:pPr>
      <w:r>
        <w:rPr>
          <w:b/>
          <w:bCs/>
        </w:rPr>
        <w:t xml:space="preserve">Structural necessity.</w:t>
      </w:r>
      <w:r>
        <w:t xml:space="preserve"> </w:t>
      </w:r>
      <w:r>
        <w:t xml:space="preserve">The comma is produced by the kernel’s own logic, not by external constraint or historical accident. It would appear in any domain organized around the same kernel regardless of cultural context or historical period.</w:t>
      </w:r>
    </w:p>
    <w:p>
      <w:pPr>
        <w:pStyle w:val="BodyText"/>
      </w:pPr>
      <w:r>
        <w:rPr>
          <w:b/>
          <w:bCs/>
        </w:rPr>
        <w:t xml:space="preserve">Formal precision.</w:t>
      </w:r>
      <w:r>
        <w:t xml:space="preserve"> </w:t>
      </w:r>
      <w:r>
        <w:t xml:space="preserve">The comma is not a vague difficulty or general tension. It is a specific, measurable incommensurability with a precise location in the kernel’s generative field. The Pythagorean comma is 531441/524288. Rice’s theorem is a formal proof that no non-trivial semantic property of programs is decidable — the software comma has a formal address. The measurement problem in quantum mechanics is formally identifiable as the gap between the Schrödinger equation’s deterministic evolution and measurement’s discontinuous probabilistic outcome, though its characterization has no consensus interpretation.</w:t>
      </w:r>
    </w:p>
    <w:p>
      <w:pPr>
        <w:pStyle w:val="BodyText"/>
      </w:pPr>
      <w:r>
        <w:rPr>
          <w:b/>
          <w:bCs/>
        </w:rPr>
        <w:t xml:space="preserve">Irresolvability.</w:t>
      </w:r>
      <w:r>
        <w:t xml:space="preserve"> </w:t>
      </w:r>
      <w:r>
        <w:t xml:space="preserve">The comma cannot be eliminated from within the domain’s own rules. It can be managed, distributed, exploited, or refused — but not resolved. Equal temperament does not eliminate the Pythagorean comma — it spreads it uniformly across all twelve keys so no single key bears the full discrepancy. The structural comma remains: the topology of the harmonic space — diatonic, symmetric, chromatic fields and their boundaries — is the residue of that distributed irresolution. A different temperament would produce a different topology. The comma’s management strategy determines the shape of the field practitioners navigate.</w:t>
      </w:r>
    </w:p>
    <w:bookmarkEnd w:id="15"/>
    <w:bookmarkStart w:id="16" w:name="six-kernels"/>
    <w:p>
      <w:pPr>
        <w:pStyle w:val="Heading3"/>
      </w:pPr>
      <w:r>
        <w:t xml:space="preserve">3.2 Six Kernels</w:t>
      </w:r>
    </w:p>
    <w:p>
      <w:pPr>
        <w:pStyle w:val="FirstParagraph"/>
      </w:pPr>
      <w:r>
        <w:t xml:space="preserve">FalseWork has identified six kernels across six domains. These six exist along a validation gradient. At the strongest end, The Fifth (music) has independent geometric corroboration from Tymoczko’s voice-leading framework, which maps FalseWork’s three-way Coltrane discrimination onto three distinct regions of scale-space without reference to FalseWork’s classifications. The Cut (cinema) has three of four kernel criteria independently confirmed by Cutting, who used his own parallel term</w:t>
      </w:r>
      <w:r>
        <w:t xml:space="preserve"> </w:t>
      </w:r>
      <w:r>
        <w:t xml:space="preserve">“primitive”</w:t>
      </w:r>
      <w:r>
        <w:t xml:space="preserve"> </w:t>
      </w:r>
      <w:r>
        <w:t xml:space="preserve">for the kernel concept; the comma formulation remains a hypothesis. At the provisional end, Gravity (architecture), Syntax (literature), and The Conditional Branch (software) satisfy the four kernel criteria by theoretical argument but lack domain expert correspondence comparable to Tymoczko or Cutting. The software kernel is the weakest of the six — its kernel candidate has an acknowledged alternative (lambda calculus generates computational universality without explicit branching). The Wave Function (physics) is uniquely positioned: it has the framework’s only formally proven comma (spectral gap undecidability, Cubitt et al. 2015) alongside a second comma whose characterization remains philosophically contested (the measurement problem). It is the only domain with both a resolved and a contested comma simultaneously.</w:t>
      </w:r>
    </w:p>
    <w:p>
      <w:pPr>
        <w:pStyle w:val="BodyText"/>
      </w:pPr>
      <w:r>
        <w:rPr>
          <w:b/>
          <w:bCs/>
        </w:rPr>
        <w:t xml:space="preserve">The Fifth (tonal music).</w:t>
      </w:r>
      <w:r>
        <w:t xml:space="preserve"> </w:t>
      </w:r>
      <w:r>
        <w:t xml:space="preserve">The 3:2 frequency ratio between two tones — the simplest non-octave consonance, derived from the second and third harmonics of any vibrating body. Comma: the Pythagorean comma (531441/524288 ≈ 23.46 cents). Geometric grounding: Tymoczko’s voice-leading space (2011) provides the mathematical description of the field topology the comma generates — diatonic, symmetric, and chromatic scale regions as distinct areas with different geometric properties. Tymoczko’s forthcoming formalization of loops and commas in voice-leading spaces (Tymoczko, forthcoming) will provide the mathematical grounding for the relationship between the structural comma and the field topology it generates. Tymoczko confirmed through direct correspondence that the three Coltrane works map onto three distinct fields in his scale-space geometry —</w:t>
      </w:r>
      <w:r>
        <w:t xml:space="preserve"> </w:t>
      </w:r>
      <w:r>
        <w:rPr>
          <w:i/>
          <w:iCs/>
        </w:rPr>
        <w:t xml:space="preserve">A Love Supreme</w:t>
      </w:r>
      <w:r>
        <w:t xml:space="preserve"> </w:t>
      </w:r>
      <w:r>
        <w:t xml:space="preserve">in the diatonic/fifths world,</w:t>
      </w:r>
      <w:r>
        <w:t xml:space="preserve"> </w:t>
      </w:r>
      <w:r>
        <w:rPr>
          <w:i/>
          <w:iCs/>
        </w:rPr>
        <w:t xml:space="preserve">Giant Steps</w:t>
      </w:r>
      <w:r>
        <w:t xml:space="preserve"> </w:t>
      </w:r>
      <w:r>
        <w:t xml:space="preserve">in the symmetric/quasi-symmetric world, and Coltrane’s late period in the chromatic world — independently corroborating FalseWork’s three-way structural discrimination (Tymoczko, personal correspondence, 2026). Tymoczko also noted that</w:t>
      </w:r>
      <w:r>
        <w:t xml:space="preserve"> </w:t>
      </w:r>
      <w:r>
        <w:rPr>
          <w:i/>
          <w:iCs/>
        </w:rPr>
        <w:t xml:space="preserve">Giant Steps</w:t>
      </w:r>
      <w:r>
        <w:t xml:space="preserve"> </w:t>
      </w:r>
      <w:r>
        <w:t xml:space="preserve">should be interpreted in terms of the collapsing major-third cycle rather than the circle of fifths, refining the exploitation target. The comma claim — that the Pythagorean comma remains structurally operative as a field-level condition for practitioners working in fixed temperament — was not confirmed; Tymoczko expressed skepticism, noting that in fixed temperament tuning issues disappear. The structural comma as a field-level concept rather than a tuning challenge is the framework’s position, treated here as a hypothesis.</w:t>
      </w:r>
    </w:p>
    <w:p>
      <w:pPr>
        <w:pStyle w:val="BodyText"/>
      </w:pPr>
      <w:r>
        <w:rPr>
          <w:b/>
          <w:bCs/>
        </w:rPr>
        <w:t xml:space="preserve">The Cut (cinema).</w:t>
      </w:r>
      <w:r>
        <w:t xml:space="preserve"> </w:t>
      </w:r>
      <w:r>
        <w:t xml:space="preserve">The boundary between shot A and shot B — temporal and spatial discontinuity that generates meaning through juxtaposition. Comma: spatial coherence and attentional-rhythmic control cannot both be fully optimized across cuts. Every editing tradition is a management strategy for that incommensurability. Empirical grounding: Cutting’s four cinematic forms taxonomy (forthcoming) provides empirical grounding for the kernel criteria — scenes, montages, syntagmas, and strands are the management strategies practitioners empirically discovered before theorizing why they worked. Cutting confirmed through direct correspondence that the cut is prior, monogenic, and inescapable — using his own parallel term</w:t>
      </w:r>
      <w:r>
        <w:t xml:space="preserve"> </w:t>
      </w:r>
      <w:r>
        <w:t xml:space="preserve">“primitive”</w:t>
      </w:r>
      <w:r>
        <w:t xml:space="preserve"> </w:t>
      </w:r>
      <w:r>
        <w:t xml:space="preserve">for the kernel concept (Cutting, personal correspondence, 2026). The comma formulation — specifically the claim that spatial coherence and attentional-rhythmic control cannot both be fully optimized across cuts — was not confirmed; Cutting noted the cinema case</w:t>
      </w:r>
      <w:r>
        <w:t xml:space="preserve"> </w:t>
      </w:r>
      <w:r>
        <w:t xml:space="preserve">“seems still inchoate”</w:t>
      </w:r>
      <w:r>
        <w:t xml:space="preserve"> </w:t>
      </w:r>
      <w:r>
        <w:t xml:space="preserve">and expressed uncertainty about the incompleteness framing. The comma formulation is treated here as a hypothesis pending the empirical test described in section 4.4.</w:t>
      </w:r>
    </w:p>
    <w:p>
      <w:pPr>
        <w:pStyle w:val="BodyText"/>
      </w:pPr>
      <w:r>
        <w:rPr>
          <w:b/>
          <w:bCs/>
        </w:rPr>
        <w:t xml:space="preserve">Gravity (architecture).</w:t>
      </w:r>
      <w:r>
        <w:t xml:space="preserve"> </w:t>
      </w:r>
      <w:r>
        <w:t xml:space="preserve">Gravitational acceleration (9.81 m/s²) acting on mass — every material element must resolve its weight through a continuous load path to ground. Comma: span and depth are structurally coupled and cannot both be maximized. Increasing span requires increasing depth; increasing depth consumes the space the span was meant to create. Maximum open volume and minimum structure cannot be simultaneously achieved. Field topology follows the home/hybrid/symmetric/outside invariant with methodological parallels to Tymoczko’s geometric approach.</w:t>
      </w:r>
    </w:p>
    <w:p>
      <w:pPr>
        <w:pStyle w:val="BodyText"/>
      </w:pPr>
      <w:r>
        <w:rPr>
          <w:b/>
          <w:bCs/>
        </w:rPr>
        <w:t xml:space="preserve">Syntax (literature).</w:t>
      </w:r>
      <w:r>
        <w:t xml:space="preserve"> </w:t>
      </w:r>
      <w:r>
        <w:t xml:space="preserve">Recursive phrase structure — the embedding of clauses within clauses according to grammatical rules, generating unbounded meaning from finite combinatorial operations. Comma: recursive depth and cognitive tractability are structurally coupled and cannot both be maximized. Natural language grammar permits unbounded recursion; human working memory does not. Every literary tradition is a management strategy for that incommensurability. The proxy feature program’s first results across twelve works suggest the comma may operate through two distinguishable violation modes: elaborative complexity, in which recursive depth is extended through accumulation until tractability collapses (Proust’s periodic syntax as the limiting case), and operative disruption, in which the syntactic operation itself is negated rather than extended (Kafka’s agrammatical prose as the limiting case). Both are responses to the same structural coupling between depth and tractability, but they approach the limit from different directions — elaborative complexity through maximum fidelity to the operation’s own generative logic, operative disruption through systematic negation of it. This maps onto the Commitment/Refusal distinction at the level of the comma’s internal geometry. Whether these are two expressions of the same comma or two structurally distinct commas is an open question the proxy program is designed to test.</w:t>
      </w:r>
    </w:p>
    <w:p>
      <w:pPr>
        <w:pStyle w:val="BodyText"/>
      </w:pPr>
      <w:r>
        <w:rPr>
          <w:b/>
          <w:bCs/>
        </w:rPr>
        <w:t xml:space="preserve">The Conditional Branch (software).</w:t>
      </w:r>
      <w:r>
        <w:t xml:space="preserve"> </w:t>
      </w:r>
      <w:r>
        <w:t xml:space="preserve">The if/then/else operation — the minimal operation that converts a single execution path into the entire field of computational possibility. Comma: a program cannot simultaneously be maximally deterministic and maximally general. Rice’s theorem establishes that no non-trivial semantic property of programs is decidable. The halting problem is the comma’s formal statement. Evaluated at the level of implemented systems and software practice rather than formal computation theory. Note: this kernel has an acknowledged alternative candidate. Lambda calculus achieves Turing completeness without explicit branching — Church encoding represents conditionals as higher-order functions, not as primitive operations. Whether the conditional branch is the kernel itself or the most common surface instantiation of a deeper generative operation is an open question requiring theoretical computer science validation.</w:t>
      </w:r>
    </w:p>
    <w:p>
      <w:pPr>
        <w:pStyle w:val="BodyText"/>
      </w:pPr>
      <w:r>
        <w:rPr>
          <w:b/>
          <w:bCs/>
        </w:rPr>
        <w:t xml:space="preserve">The Wave Function (physics).</w:t>
      </w:r>
      <w:r>
        <w:t xml:space="preserve"> </w:t>
      </w:r>
      <w:r>
        <w:t xml:space="preserve">Superposition — the existence of a quantum system in a linear combination of eigenstates prior to measurement. The Wave Function kernel has two distinct commas operating at different levels. The spectral gap problem — whether certain quantum many-body systems have a finite energy gap between ground and excited states in the thermodynamic limit — has been formally proven undecidable (Cubitt, Perez-Garcia &amp; Wolf 2015). This is a proven comma in the Gödel sense: no algorithm can determine spectral gap status for the general class of quantum systems. The measurement problem — the gap between the Schrödinger equation’s deterministic evolution and measurement’s discontinuous probabilistic outcome — remains contested: every interpretation of quantum mechanics is a competing characterization of the same irresolvable gap, and no consensus has been reached since 1927. The succession of quantum interpretations — Copenhagen, Many-Worlds, pilot wave, decoherence, relational quantum mechanics, objective collapse — is the contested comma generating new management strategies indefinitely. The physics kernel is unique in the framework: the only domain with both a proven formal comma and a contested philosophical comma simultaneously.</w:t>
      </w:r>
    </w:p>
    <w:bookmarkEnd w:id="16"/>
    <w:bookmarkStart w:id="17" w:name="falsifiability-conditions"/>
    <w:p>
      <w:pPr>
        <w:pStyle w:val="Heading3"/>
      </w:pPr>
      <w:r>
        <w:t xml:space="preserve">3.3 Falsifiability Conditions</w:t>
      </w:r>
    </w:p>
    <w:p>
      <w:pPr>
        <w:pStyle w:val="FirstParagraph"/>
      </w:pPr>
      <w:r>
        <w:t xml:space="preserve">A kernel claim is falsifiable on two conditions. First: if a non-trivial instance of the domain can be constructed that does not encounter the proposed comma, the kernel definition is wrong. Second: if a different minimal operation generates the same field of possibility with a different comma, the proposed kernel is not minimal. The music kernel has survived both tests — no tonal system avoids the Pythagorean comma, and no simpler operation than the fifth generates the full field of tonal possibility. The other five kernels are held to the same standard. Where the test has not been run, the kernel claim is provisional.</w:t>
      </w:r>
    </w:p>
    <w:p>
      <w:pPr>
        <w:pStyle w:val="BodyText"/>
      </w:pPr>
      <w:r>
        <w:t xml:space="preserve">A note on the structure of falsification. The conditions specified above operate at the structural-topology level — they identify what would count as evidence against the kernel’s definition or the topology’s exhaustiveness. Individual classification failures at the work-level are treated differently: the framework’s default reading of a classification failure is that it identifies kernel misspecification (a call to refine the kernel’s definition) rather than topology failure (a call to abandon the five-position claim). This configuration is Lakatos-progressive in character: the hard core of the framework (the kernel/comma topology and the five positions) is preserved through refinements to the protective belt (specific kernel definitions and their boundaries) rather than abandoned on individual anomalies. Whether this configuration is productive — whether the refinements generate novel successful predictions, in Lakatos’s sense — or immunizing — whether they insulate the framework against evidence that should count against it — is an empirical question about the framework’s actual track record across domains. The paper states the topology-level falsification conditions explicitly and leaves the productive/immunizing question open to evaluation as the empirical record develops.</w:t>
      </w:r>
    </w:p>
    <w:bookmarkEnd w:id="17"/>
    <w:bookmarkStart w:id="18" w:name="derivation-of-the-five-positions"/>
    <w:p>
      <w:pPr>
        <w:pStyle w:val="Heading3"/>
      </w:pPr>
      <w:r>
        <w:t xml:space="preserve">3.4 Derivation of the Five Positions</w:t>
      </w:r>
    </w:p>
    <w:p>
      <w:pPr>
        <w:pStyle w:val="FirstParagraph"/>
      </w:pPr>
      <w:r>
        <w:t xml:space="preserve">Given a kernel K with a comma L — the specific irresolvable gap K generates at its own boundary — what are the structurally distinct positions a practitioner can occupy relative to L? Not stylistic positions. Not historical positions. Structural positions: how many fundamentally distinct relationships with a ceiling that cannot be broken through?</w:t>
      </w:r>
    </w:p>
    <w:p>
      <w:pPr>
        <w:pStyle w:val="BodyText"/>
      </w:pPr>
      <w:r>
        <w:t xml:space="preserve">The derivation follows from a structured decision tree — one binary distinction followed by a partition of the encounter branch into three structural targets, with one target requiring a further binary distinction.</w:t>
      </w:r>
    </w:p>
    <w:p>
      <w:pPr>
        <w:pStyle w:val="BodyText"/>
      </w:pPr>
      <w:r>
        <w:rPr>
          <w:b/>
          <w:bCs/>
        </w:rPr>
        <w:t xml:space="preserve">First distinction: encounter or non-encounter.</w:t>
      </w:r>
    </w:p>
    <w:p>
      <w:pPr>
        <w:pStyle w:val="BodyText"/>
      </w:pPr>
      <w:r>
        <w:t xml:space="preserve">A practitioner either operates within the kernel’s reducible range — the scope of practice where K’s logic is fully deterministic and L is never directly reached — or operates at a scope where L is encountered. This distinction is binary and exhaustive. Every structural position is on one side of it.</w:t>
      </w:r>
    </w:p>
    <w:p>
      <w:pPr>
        <w:pStyle w:val="BodyText"/>
      </w:pPr>
      <w:r>
        <w:t xml:space="preserve">The non-encounter side is complete in itself. If L is never reached, the practitioner’s structural relationship with K is fully described: the kernel operates as invisible substrate, the comma is structurally present but never directly engaged, and the work stays within the range where K’s logic produces determinate outcomes. This is one position. It requires no further distinction because the limit plays no role in the work’s structural logic.</w:t>
      </w:r>
    </w:p>
    <w:p>
      <w:pPr>
        <w:pStyle w:val="BodyText"/>
      </w:pPr>
      <w:r>
        <w:t xml:space="preserve">This is Infrastructure.</w:t>
      </w:r>
    </w:p>
    <w:p>
      <w:pPr>
        <w:pStyle w:val="BodyText"/>
      </w:pPr>
      <w:r>
        <w:t xml:space="preserve">The encounter side requires further analysis. Reaching L is not itself a structural position — it is a condition that admits multiple distinct responses. Two further binary distinctions identify them.</w:t>
      </w:r>
    </w:p>
    <w:p>
      <w:pPr>
        <w:pStyle w:val="BodyText"/>
      </w:pPr>
      <w:r>
        <w:rPr>
          <w:b/>
          <w:bCs/>
        </w:rPr>
        <w:t xml:space="preserve">Second distinction: what is the structural target of the encounter?</w:t>
      </w:r>
    </w:p>
    <w:p>
      <w:pPr>
        <w:pStyle w:val="BodyText"/>
      </w:pPr>
      <w:r>
        <w:t xml:space="preserve">Once L is encountered, a practitioner’s structural relationship is oriented toward one of three possible targets. The target space has three and only three components because position relative to a boundary admits exactly three spatial relations: the interior of the generative field, the specific structure at the boundary, and the boundary itself.</w:t>
      </w:r>
    </w:p>
    <w:p>
      <w:pPr>
        <w:pStyle w:val="BodyText"/>
      </w:pPr>
      <w:r>
        <w:t xml:space="preserve">The three targets are: the field (the general space generated by K), the geometry of L (the specific formal structure at the comma’s boundary), and L itself (the limit as boundary condition).</w:t>
      </w:r>
    </w:p>
    <w:p>
      <w:pPr>
        <w:pStyle w:val="BodyText"/>
      </w:pPr>
      <w:r>
        <w:t xml:space="preserve">If the target is the field: the comma’s tension is spread across the work so no single moment bears its full weight. The practitioner acknowledges L by managing its distribution rather than confronting it. This is Distribution.</w:t>
      </w:r>
    </w:p>
    <w:p>
      <w:pPr>
        <w:pStyle w:val="BodyText"/>
      </w:pPr>
      <w:r>
        <w:t xml:space="preserve">If the target is the geometry of L: the comma’s specific properties — the particular formal structure where K’s logic breaks down — are made generative. The incompleteness is the resource. This is Exploitation.</w:t>
      </w:r>
    </w:p>
    <w:p>
      <w:pPr>
        <w:pStyle w:val="BodyText"/>
      </w:pPr>
      <w:r>
        <w:t xml:space="preserve">If the target is L itself — the limit as boundary — a third distinction is required.</w:t>
      </w:r>
    </w:p>
    <w:p>
      <w:pPr>
        <w:pStyle w:val="BodyText"/>
      </w:pPr>
      <w:r>
        <w:rPr>
          <w:b/>
          <w:bCs/>
        </w:rPr>
        <w:t xml:space="preserve">Third distinction: direction of approach to L.</w:t>
      </w:r>
    </w:p>
    <w:p>
      <w:pPr>
        <w:pStyle w:val="BodyText"/>
      </w:pPr>
      <w:r>
        <w:t xml:space="preserve">Approaching the limit itself admits exactly two directions: with the kernel’s organizing logic, or against it.</w:t>
      </w:r>
    </w:p>
    <w:p>
      <w:pPr>
        <w:pStyle w:val="BodyText"/>
      </w:pPr>
      <w:r>
        <w:t xml:space="preserve">With K’s logic: the practitioner follows K’s own generative logic with total fidelity until the operation and its limit become identical. L is approached by pushing K to its furthest reach. This is Commitment.</w:t>
      </w:r>
    </w:p>
    <w:p>
      <w:pPr>
        <w:pStyle w:val="BodyText"/>
      </w:pPr>
      <w:r>
        <w:t xml:space="preserve">Against K’s logic: the practitioner negates K’s organizing logic systematically and makes that negation the structural content of the work. L is approached from outside K’s field entirely. This is Refusal.</w:t>
      </w:r>
    </w:p>
    <w:p>
      <w:pPr>
        <w:pStyle w:val="BodyText"/>
      </w:pPr>
      <w:r>
        <w:rPr>
          <w:b/>
          <w:bCs/>
        </w:rPr>
        <w:t xml:space="preserve">The complete derivation stated formally.</w:t>
      </w:r>
    </w:p>
    <w:p>
      <w:pPr>
        <w:pStyle w:val="BodyText"/>
      </w:pPr>
      <w:r>
        <w:t xml:space="preserve">Let K be a kernel, L be its comma, and P be a structural position. Then:</w:t>
      </w:r>
    </w:p>
    <w:p>
      <w:pPr>
        <w:pStyle w:val="BodyText"/>
      </w:pPr>
      <w:r>
        <w:t xml:space="preserve">P = Infrastructure if scope(P) &lt; L — practitioner operates below the comma threshold; limit never encountered.</w:t>
      </w:r>
    </w:p>
    <w:p>
      <w:pPr>
        <w:pStyle w:val="BodyText"/>
      </w:pPr>
      <w:r>
        <w:t xml:space="preserve">P = Distribution if scope(P) ≥ L ∧ target(P) = field — limit encountered; tension spread across the generative field.</w:t>
      </w:r>
    </w:p>
    <w:p>
      <w:pPr>
        <w:pStyle w:val="BodyText"/>
      </w:pPr>
      <w:r>
        <w:t xml:space="preserve">P = Exploitation if scope(P) ≥ L ∧ target(P) = geometry(L) — limit encountered; specific formal structure at the boundary made generative.</w:t>
      </w:r>
    </w:p>
    <w:p>
      <w:pPr>
        <w:pStyle w:val="BodyText"/>
      </w:pPr>
      <w:r>
        <w:t xml:space="preserve">P = Commitment if scope(P) → L ∧ target(P) = limit ∧ direction(P) = with(K) — limit approached through maximum fidelity to K’s own logic.</w:t>
      </w:r>
    </w:p>
    <w:p>
      <w:pPr>
        <w:pStyle w:val="BodyText"/>
      </w:pPr>
      <w:r>
        <w:t xml:space="preserve">P = Refusal if scope(P) → L ∧ target(P) = limit ∧ direction(P) = against(K) — limit approached through systematic negation of K’s organizing logic.</w:t>
      </w:r>
    </w:p>
    <w:p>
      <w:pPr>
        <w:pStyle w:val="BodyText"/>
      </w:pPr>
      <w:r>
        <w:rPr>
          <w:b/>
          <w:bCs/>
        </w:rPr>
        <w:t xml:space="preserve">Why the target space has exactly three components.</w:t>
      </w:r>
    </w:p>
    <w:p>
      <w:pPr>
        <w:pStyle w:val="BodyText"/>
      </w:pPr>
      <w:r>
        <w:t xml:space="preserve">The exhaustiveness claim rests on the partition of the target space. A practitioner who encounters L is oriented toward something — what? The possible targets are constrained by the structure of the situation: there is a generative field (the space K produces), there is a specific formal structure at the boundary (the geometry of L), and there is the boundary itself (L as limit). These correspond to the three and only three spatial relations to a boundary: interior, boundary structure, and boundary itself. Field is below the boundary. Geometry is at the boundary. Limit is the boundary. If this spatial argument holds — if position relative to a boundary admits exactly three relations — the exhaustiveness follows. If it does not hold, a fourth target would need to be identified that is not reducible to one of these three, and the five-position claim becomes empirical rather than derived. Two candidate fourth relations warrant explicit treatment. First: traversing the boundary — operating at the limit but neither with the kernel’s logic nor against it; moving along L rather than approaching it from either direction. This collapses into Exploitation. Moving along the boundary requires engaging its specific formal structure — the geometry of L — as the field of operation; that is precisely the structural definition of Exploitation. A practitioner cannot navigate the comma’s boundary without making its geometry the target. There is no position at the boundary that is not already oriented toward the geometry of L, or the limit approached with K’s logic, or the limit approached against it. Second: operating obliquely to K’s logic — neither extending it nor negating it but transforming it at the limit. This also collapses into Exploitation. Transforming the kernel’s logic at its limit means making the specific structure where K’s logic undergoes transformation — the geometry of L — generative. Transformation at the boundary is Exploitation under a different description. The with/against distinction at the limit is exhaustive because K’s logic defines a single generative axis: any structural relationship to K at the limit is either extending that axis (Commitment) or inverting it (Refusal). A transformation that is neither extension nor inversion is not a relationship to the limit itself — it is a relationship to the geometry at the boundary, which is already Exploitation.</w:t>
      </w:r>
    </w:p>
    <w:p>
      <w:pPr>
        <w:pStyle w:val="BodyText"/>
      </w:pPr>
      <w:r>
        <w:t xml:space="preserve">The formal test for exhaustiveness: any proposed sixth position either collapses into one of the five under analysis, or identifies a target in the encounter space not reducible to field, geometry(L), or limit, or identifies a direction of approach to the limit not reducible to with(K) or against(K). The two strongest candidates — traversal and oblique approach — both collapse into Exploitation under analysis, as shown above. No sixth position has been found that does not reduce. The framework proposes that the space is closed under the current derivation. Persistent classification failures would count as evidence against this closure.</w:t>
      </w:r>
    </w:p>
    <w:p>
      <w:pPr>
        <w:pStyle w:val="BodyText"/>
      </w:pPr>
      <w:r>
        <w:rPr>
          <w:b/>
          <w:bCs/>
        </w:rPr>
        <w:t xml:space="preserve">An ontological note on Commitment.</w:t>
      </w:r>
      <w:r>
        <w:t xml:space="preserve"> </w:t>
      </w:r>
      <w:r>
        <w:t xml:space="preserve">The derivation above assumes that structural position is a property recoverable at the level of individual works — that scope(P), target(P), and direction(P) can be assessed from the structural profile of a single work. The Commitment position stresses this assumption. The canonical example of Commitment — Bach’s</w:t>
      </w:r>
      <w:r>
        <w:t xml:space="preserve"> </w:t>
      </w:r>
      <w:r>
        <w:rPr>
          <w:i/>
          <w:iCs/>
        </w:rPr>
        <w:t xml:space="preserve">Art of Fugue</w:t>
      </w:r>
      <w:r>
        <w:t xml:space="preserve"> </w:t>
      </w:r>
      <w:r>
        <w:t xml:space="preserve">— requires corpus-level context to read as Commitment rather than Infrastructure (see Section 5.1). If Commitment turns out to be irreducibly corpus-level, while the other four positions are recoverable at work level, the five positions are not on the same ontological footing, and the derivation would need to be reformulated over a different target space — possibly one whose objects are practitioner-corpora rather than individual works. The framework holds open two responses: kernel refinement (redefine The Fifth’s conditions to make Commitment recoverable at work level) or topology extension (accept that structural position operates at two levels, work and corpus, and extend the derivation accordingly). Either response preserves the five positions; both require work the current framework has not yet completed. This is acknowledged as an open structural issue in Section 5.1 and should temper the confidence with which the derivation is read: it is a derivation over a target space whose level of analysis (work vs. corpus) has not been fully stabilized.</w:t>
      </w:r>
    </w:p>
    <w:p>
      <w:pPr>
        <w:pStyle w:val="BodyText"/>
      </w:pPr>
      <w:r>
        <w:t xml:space="preserve">These five cases are proposed as mutually exclusive and collectively exhaustive. The derivation is presented as complete under the current framework; its adequacy is evaluated through classification performance and resistance to counterexamples.</w:t>
      </w:r>
    </w:p>
    <w:bookmarkEnd w:id="18"/>
    <w:bookmarkStart w:id="19" w:name="what-the-derivation-establishes"/>
    <w:p>
      <w:pPr>
        <w:pStyle w:val="Heading3"/>
      </w:pPr>
      <w:r>
        <w:t xml:space="preserve">3.5 What the Derivation Establishes</w:t>
      </w:r>
    </w:p>
    <w:p>
      <w:pPr>
        <w:pStyle w:val="FirstParagraph"/>
      </w:pPr>
      <w:r>
        <w:t xml:space="preserve">Three things that the empirical observation of five positions across domains could not establish on its own.</w:t>
      </w:r>
    </w:p>
    <w:p>
      <w:pPr>
        <w:pStyle w:val="BodyText"/>
      </w:pPr>
      <w:r>
        <w:t xml:space="preserve">First, derivational grounding. The five positions are not a pattern extracted from observation — they follow from the logical structure of what positions are possible relative to a self-limiting generative operation. The derivation predicts the topology before the corpus confirms it.</w:t>
      </w:r>
    </w:p>
    <w:p>
      <w:pPr>
        <w:pStyle w:val="BodyText"/>
      </w:pPr>
      <w:r>
        <w:t xml:space="preserve">Second, proposed closure. No sixth position has been found that does not collapse into one of the five under analysis. A work that appears to occupy a new position is either occupying one of the five with unusual surface features, or the kernel definition is incorrect and needs revision. The derivation is the diagnostic tool: if classification consistently fails for a class of works, the kernel is wrong, not the topology.</w:t>
      </w:r>
    </w:p>
    <w:p>
      <w:pPr>
        <w:pStyle w:val="BodyText"/>
      </w:pPr>
      <w:r>
        <w:t xml:space="preserve">Third, cross-domain grounding. The reason the same five positions appear across music, cinema, architecture, literature, software, and physics is not shared historical influence or cultural context — it is that all six domains have kernels, and the derivation applies wherever a kernel exists. The convergence is structurally predicted, not merely observed. A note on the ontological status of the positions: Dennett’s (1991) account of real patterns is relevant here. A pattern is real, on Dennett’s account, if the most efficient description of the relevant phenomena requires invoking it — if describing what practitioners do relative to a self-limiting generative operation is more compact with the five positions than without them. The derivation establishes the positions as logical consequences; Dennett’s criterion establishes them as genuine features of the domain rather than imposed categories. Both arguments are needed: the derivation shows the positions are exhaustive, Dennett’s criterion shows they are not arbitrary.</w:t>
      </w:r>
    </w:p>
    <w:bookmarkEnd w:id="19"/>
    <w:bookmarkEnd w:id="20"/>
    <w:bookmarkStart w:id="25" w:name="empirical-demonstrations"/>
    <w:p>
      <w:pPr>
        <w:pStyle w:val="Heading2"/>
      </w:pPr>
      <w:r>
        <w:t xml:space="preserve">4. Empirical Demonstrations</w:t>
      </w:r>
    </w:p>
    <w:p>
      <w:pPr>
        <w:pStyle w:val="FirstParagraph"/>
      </w:pPr>
      <w:r>
        <w:t xml:space="preserve">The framework’s theoretical claims are grounded through four demonstrations. The first demonstrates independent corroboration of the three-way Coltrane discrimination and an exploitation target refinement. The second tests whether identical three-axis classifications can be meaningfully discriminated within a shared structural address. The third tests whether the cross-domain homology claim produces structurally meaningful comparisons across unrelated domains. The fourth tests whether the framework’s structural positions are recoverable from measurable formal properties without natural language reasoning as intermediary. For the cinema kernel specifically: Cutting’s correspondence provides strong empirical grounding for three of the four kernel criteria (prior, monogenic, inescapable) but does not confirm the comma formulation, which is treated as a hypothesis throughout this section.</w:t>
      </w:r>
    </w:p>
    <w:bookmarkStart w:id="21" w:name="X7db4473322de01942011b12ba02a49ec30aa470"/>
    <w:p>
      <w:pPr>
        <w:pStyle w:val="Heading3"/>
      </w:pPr>
      <w:r>
        <w:t xml:space="preserve">4.1 Independent Corroboration and Exploitation Target Refinement: Coltrane and the Music Kernel</w:t>
      </w:r>
    </w:p>
    <w:p>
      <w:pPr>
        <w:pStyle w:val="FirstParagraph"/>
      </w:pPr>
      <w:r>
        <w:t xml:space="preserve">The first demonstration concerns FalseWork’s three-way structural discrimination of Coltrane’s output and the classification of</w:t>
      </w:r>
      <w:r>
        <w:t xml:space="preserve"> </w:t>
      </w:r>
      <w:r>
        <w:rPr>
          <w:i/>
          <w:iCs/>
        </w:rPr>
        <w:t xml:space="preserve">Giant Steps</w:t>
      </w:r>
      <w:r>
        <w:t xml:space="preserve"> </w:t>
      </w:r>
      <w:r>
        <w:t xml:space="preserve">(1960) within the music kernel’s field topology. The initial FalseWork classification identified</w:t>
      </w:r>
      <w:r>
        <w:t xml:space="preserve"> </w:t>
      </w:r>
      <w:r>
        <w:rPr>
          <w:i/>
          <w:iCs/>
        </w:rPr>
        <w:t xml:space="preserve">Giant Steps</w:t>
      </w:r>
      <w:r>
        <w:t xml:space="preserve"> </w:t>
      </w:r>
      <w:r>
        <w:t xml:space="preserve">as an Exploitation work operating within the symmetric territory of Tymoczko’s voice-leading space — the territory generated by equal division of the octave, characterized by augmented triads and major-third cycles — while placing</w:t>
      </w:r>
      <w:r>
        <w:t xml:space="preserve"> </w:t>
      </w:r>
      <w:r>
        <w:rPr>
          <w:i/>
          <w:iCs/>
        </w:rPr>
        <w:t xml:space="preserve">A Love Supreme</w:t>
      </w:r>
      <w:r>
        <w:t xml:space="preserve"> </w:t>
      </w:r>
      <w:r>
        <w:t xml:space="preserve">in the diatonic territory and Coltrane’s late period in the chromatic territory.</w:t>
      </w:r>
    </w:p>
    <w:p>
      <w:pPr>
        <w:pStyle w:val="BodyText"/>
      </w:pPr>
      <w:r>
        <w:t xml:space="preserve">Correspondence with Dmitri Tymoczko (Princeton University) produced two results. First, independent corroboration of the three-way discrimination: without being asked to validate FalseWork’s classifications, Tymoczko described the same three works mapping onto the same three structural fields from his own geometric framework —</w:t>
      </w:r>
      <w:r>
        <w:t xml:space="preserve"> </w:t>
      </w:r>
      <w:r>
        <w:t xml:space="preserve">“diatonic (fifths;</w:t>
      </w:r>
      <w:r>
        <w:t xml:space="preserve"> </w:t>
      </w:r>
      <w:r>
        <w:rPr>
          <w:i/>
          <w:iCs/>
        </w:rPr>
        <w:t xml:space="preserve">A Love Supreme</w:t>
      </w:r>
      <w:r>
        <w:t xml:space="preserve">), chromatic (late period Coltrane), and symmetric or quasi-symmetric (</w:t>
      </w:r>
      <w:r>
        <w:rPr>
          <w:i/>
          <w:iCs/>
        </w:rPr>
        <w:t xml:space="preserve">Giant Steps</w:t>
      </w:r>
      <w:r>
        <w:t xml:space="preserve">)”</w:t>
      </w:r>
      <w:r>
        <w:t xml:space="preserve"> </w:t>
      </w:r>
      <w:r>
        <w:t xml:space="preserve">— noting that this tripartition organizes the entire history of twentieth-century music from Rimsky and Debussy onward (Tymoczko 2011; Tymoczko, personal correspondence, 2026). This convergence from two independent analytical systems is the strongest empirical grounding the music kernel has. Second, a refinement of the exploitation target: Tymoczko expressed surprise that</w:t>
      </w:r>
      <w:r>
        <w:t xml:space="preserve"> </w:t>
      </w:r>
      <w:r>
        <w:rPr>
          <w:i/>
          <w:iCs/>
        </w:rPr>
        <w:t xml:space="preserve">Giant Steps</w:t>
      </w:r>
      <w:r>
        <w:t xml:space="preserve"> </w:t>
      </w:r>
      <w:r>
        <w:t xml:space="preserve">was not being interpreted in terms of the collapsing major-third cycle, which refined the initial framing from the circle of fifths to the major-third cycle’s specific topological properties within the symmetric territory. The major-third cycle divides the octave into three equal parts, producing a self-contained harmonic loop — C, E, A♭ — that Coltrane traverses at a harmonic rhythm fast enough to destabilize any improviser operating within diatonic expectations.</w:t>
      </w:r>
    </w:p>
    <w:p>
      <w:pPr>
        <w:pStyle w:val="BodyText"/>
      </w:pPr>
      <w:r>
        <w:t xml:space="preserve">The corrected classification — Exploitation · hexatonic · SELF_CONSTRAINS × EXPOSED × EXPLOITS — is additionally consistent with Nardelli’s network analysis of generalized musical spaces (arXiv 1905.01842), which shows that at distance √2 in the voice-leading space, the network splits into components centered on augmented triads — the same structural feature identified as the exploitation target, arrived at through graph-theoretic analysis without reference to either Tymoczko’s geometry or FalseWork’s classification (Nardelli 2019). This is a literature-level consistency check rather than an independent validation of the kind the Tymoczko and Cutting exchanges represent; no correspondence with Nardelli has been conducted.</w:t>
      </w:r>
    </w:p>
    <w:p>
      <w:pPr>
        <w:pStyle w:val="BodyText"/>
      </w:pPr>
      <w:r>
        <w:t xml:space="preserve">Tymoczko also expressed skepticism about whether the Pythagorean comma remains operative as a structural condition for practitioners working in fixed temperament. The framework’s position — that the comma shapes the field topology as a structural condition regardless of whether individual practitioners navigate tuning — is treated as a hypothesis rather than a confirmed claim, and is the subject of the proxy feature program described in section 4.4.</w:t>
      </w:r>
    </w:p>
    <w:bookmarkEnd w:id="21"/>
    <w:bookmarkStart w:id="22" w:name="Xc3724360f5cddc5e739e68a90a48fe9f3bd592f"/>
    <w:p>
      <w:pPr>
        <w:pStyle w:val="Heading3"/>
      </w:pPr>
      <w:r>
        <w:t xml:space="preserve">4.2 Discrimination Within a Shared Address:</w:t>
      </w:r>
      <w:r>
        <w:t xml:space="preserve"> </w:t>
      </w:r>
      <w:r>
        <w:rPr>
          <w:i/>
          <w:iCs/>
        </w:rPr>
        <w:t xml:space="preserve">Psycho</w:t>
      </w:r>
      <w:r>
        <w:t xml:space="preserve"> </w:t>
      </w:r>
      <w:r>
        <w:t xml:space="preserve">and</w:t>
      </w:r>
      <w:r>
        <w:t xml:space="preserve"> </w:t>
      </w:r>
      <w:r>
        <w:rPr>
          <w:i/>
          <w:iCs/>
        </w:rPr>
        <w:t xml:space="preserve">Battleship Potemkin</w:t>
      </w:r>
    </w:p>
    <w:p>
      <w:pPr>
        <w:pStyle w:val="FirstParagraph"/>
      </w:pPr>
      <w:r>
        <w:t xml:space="preserve">The second demonstration concerns two works that the classification pipeline assigns identical three-axis coordinates: Alfred Hitchcock’s shower scene from</w:t>
      </w:r>
      <w:r>
        <w:t xml:space="preserve"> </w:t>
      </w:r>
      <w:r>
        <w:rPr>
          <w:i/>
          <w:iCs/>
        </w:rPr>
        <w:t xml:space="preserve">Psycho</w:t>
      </w:r>
      <w:r>
        <w:t xml:space="preserve"> </w:t>
      </w:r>
      <w:r>
        <w:t xml:space="preserve">(1960) and Sergei Eisenstein’s Odessa Steps sequence from</w:t>
      </w:r>
      <w:r>
        <w:t xml:space="preserve"> </w:t>
      </w:r>
      <w:r>
        <w:rPr>
          <w:i/>
          <w:iCs/>
        </w:rPr>
        <w:t xml:space="preserve">Battleship Potemkin</w:t>
      </w:r>
      <w:r>
        <w:t xml:space="preserve"> </w:t>
      </w:r>
      <w:r>
        <w:t xml:space="preserve">(1925). Both return Exploitation · montage · SELF_CONSTRAINS × EXPOSED × EXPLOITS at high confidence with unanimous three-run consensus. The classification is correct for both — both works exploit the cut’s generative properties as explicit structural content rather than managing or refusing them. The question the identical classification raises: if two works share a complete structural address, what discriminates them?</w:t>
      </w:r>
    </w:p>
    <w:p>
      <w:pPr>
        <w:pStyle w:val="BodyText"/>
      </w:pPr>
      <w:r>
        <w:t xml:space="preserve">The answer is the exploitation target — which property of the cut’s generative field each work exploits.</w:t>
      </w:r>
    </w:p>
    <w:p>
      <w:pPr>
        <w:pStyle w:val="BodyText"/>
      </w:pPr>
      <w:r>
        <w:t xml:space="preserve">Eisenstein exploits the cut’s juxtaposition property: meaning generated from adjacency, images producing a third content that exists in neither image alone. The stone lion sequence — three photographs of three different statues in three positions, cut in sequence — constructs motion that never existed in recorded space. The cut’s specific generative capacity (adjacency produces meaning) is the compositional material. The mechanism is announced: Eisenstein theorized intellectual montage explicitly, making the structural argument the film’s declared subject.</w:t>
      </w:r>
    </w:p>
    <w:p>
      <w:pPr>
        <w:pStyle w:val="BodyText"/>
      </w:pPr>
      <w:r>
        <w:t xml:space="preserve">Hitchcock exploits the cut’s density property: rhythmic accumulation producing physiological response regardless of what any individual cut shows. Seventy-eight cuts in forty-five seconds exceeds the threshold at which individual cuts register consciously (Cutting, DeLong &amp; Nothelfer 2010). What remains is rhythm and sensation — the cutting density is the violence, not a representation of it. The mechanism is concealed in the sense that the viewer experiences the effect without tracking the cause; but the cut is not operating as invisible grammar. It is operating as sensory weapon.</w:t>
      </w:r>
    </w:p>
    <w:p>
      <w:pPr>
        <w:pStyle w:val="BodyText"/>
      </w:pPr>
      <w:r>
        <w:t xml:space="preserve">Same structural address. Different exploitation target. The three-axis classification system captures position within the field topology. The framing text — the prose analysis accompanying each classification — captures the specific operation within that position. This distinction between position and operation is the framework’s response to the objection that five categories are insufficient to characterize the diversity of creative works: the categories describe structural coordinates, not executions. Two works at identical coordinates are making the same structural move; what differs is how they make it.</w:t>
      </w:r>
    </w:p>
    <w:p>
      <w:pPr>
        <w:pStyle w:val="BodyText"/>
      </w:pPr>
      <w:r>
        <w:t xml:space="preserve">The</w:t>
      </w:r>
      <w:r>
        <w:t xml:space="preserve"> </w:t>
      </w:r>
      <w:r>
        <w:rPr>
          <w:i/>
          <w:iCs/>
        </w:rPr>
        <w:t xml:space="preserve">Psycho</w:t>
      </w:r>
      <w:r>
        <w:t xml:space="preserve">/</w:t>
      </w:r>
      <w:r>
        <w:rPr>
          <w:i/>
          <w:iCs/>
        </w:rPr>
        <w:t xml:space="preserve">Potemkin</w:t>
      </w:r>
      <w:r>
        <w:t xml:space="preserve"> </w:t>
      </w:r>
      <w:r>
        <w:t xml:space="preserve">pair demonstrates that the framework’s classification system is neither overcomplete (generating spurious distinctions between works that are structurally equivalent) nor undercomplete (collapsing works that are structurally distinct into the same category). Both works are correctly at Exploitation. Their discrimination requires the prose analysis layer, not a finer classification grid.</w:t>
      </w:r>
    </w:p>
    <w:bookmarkEnd w:id="22"/>
    <w:bookmarkStart w:id="23" w:name="X043a70b39755a995c0244144c610e8e4d90c6e9"/>
    <w:p>
      <w:pPr>
        <w:pStyle w:val="Heading3"/>
      </w:pPr>
      <w:r>
        <w:t xml:space="preserve">4.3 Cross-Domain Structural Homology: Coltrane and Eisenstein at Exploitation</w:t>
      </w:r>
    </w:p>
    <w:p>
      <w:pPr>
        <w:pStyle w:val="FirstParagraph"/>
      </w:pPr>
      <w:r>
        <w:t xml:space="preserve">The third demonstration concerns the cross-domain homology claim directly. FalseWork proposes that Coltrane’s</w:t>
      </w:r>
      <w:r>
        <w:t xml:space="preserve"> </w:t>
      </w:r>
      <w:r>
        <w:rPr>
          <w:i/>
          <w:iCs/>
        </w:rPr>
        <w:t xml:space="preserve">Giant Steps</w:t>
      </w:r>
      <w:r>
        <w:t xml:space="preserve"> </w:t>
      </w:r>
      <w:r>
        <w:t xml:space="preserve">(music kernel, Exploitation · hexatonic) and Eisenstein’s Odessa Steps sequence (cinema kernel, Exploitation · montage) occupy the same structural address in their respective domains’ behavior spaces. This is a structural claim, not an analogical one. It does not propose that jazz improvisation resembles Soviet montage in surface features, stylistic concerns, or historical context. It proposes that both works make the same structural move relative to their domain’s kernel — exploiting the specific geometry of the generative field at its boundary as explicit compositional content.</w:t>
      </w:r>
    </w:p>
    <w:p>
      <w:pPr>
        <w:pStyle w:val="BodyText"/>
      </w:pPr>
      <w:r>
        <w:t xml:space="preserve">The structural argument for the homology: Both kernels are prior, monogenic, inescapable, and self-limiting. Both generate a specific irresolvable gap. Both commas have a precise geometric structure — the augmented triad’s topological properties within the closed harmonic field; the cut’s juxtaposition capacity at the boundary between spatial coherence and attentional control. Both works exploit that geometric structure as the announced subject of the work rather than managing or refusing it.</w:t>
      </w:r>
    </w:p>
    <w:p>
      <w:pPr>
        <w:pStyle w:val="BodyText"/>
      </w:pPr>
      <w:r>
        <w:rPr>
          <w:i/>
          <w:iCs/>
        </w:rPr>
        <w:t xml:space="preserve">Giant Steps</w:t>
      </w:r>
      <w:r>
        <w:t xml:space="preserve"> </w:t>
      </w:r>
      <w:r>
        <w:t xml:space="preserve">makes the augmented triad symmetry the explicit harmonic content — every chord change traces the major-third cycle at maximum velocity. The geometry of the field at its boundary is the composition. Eisenstein makes the cut’s juxtaposition capacity the explicit compositional argument — the stone lion’s motion is constructed entirely from adjacency between three static photographs. The geometry of the cut’s generative operation is the film.</w:t>
      </w:r>
    </w:p>
    <w:p>
      <w:pPr>
        <w:pStyle w:val="BodyText"/>
      </w:pPr>
      <w:r>
        <w:t xml:space="preserve">Both practitioners understood the geometry they were exploiting. Coltrane drew geometric diagrams of the tonal space — mapping pitch relationships as visual objects between sets at gigs, working the geometry out on paper as a regular practice; the diagram he gave to saxophonist and theorist Yusef Lateef in 1967 is the most famous artifact of this practice (Lateef 1981). Eisenstein theorized intellectual montage explicitly in his published writings, making the structural argument available for independent verification (Eisenstein 1949). Both works are cases where the practitioner’s structural awareness is documented independently of the FalseWork classification.</w:t>
      </w:r>
    </w:p>
    <w:p>
      <w:pPr>
        <w:pStyle w:val="BodyText"/>
      </w:pPr>
      <w:r>
        <w:t xml:space="preserve">The homology is not asserted on the basis of surface resemblance or shared cultural context. Coltrane and Eisenstein had no documented intellectual exchange. Jazz improvisation and Soviet montage theory developed in different countries, different decades, different media, with different political and aesthetic concerns. The proposed structural equivalence rests entirely on the formal argument: same position in the constraint space generated by a self-limiting generative operation, same relationship to the specific geometry of the comma, same announcement of that geometry as compositional content.</w:t>
      </w:r>
    </w:p>
    <w:p>
      <w:pPr>
        <w:pStyle w:val="BodyText"/>
      </w:pPr>
      <w:r>
        <w:t xml:space="preserve">This is the cross-domain homology claim in its most precise form. It is falsifiable: if the augmented triad’s topological properties within the closed harmonic field and the cut’s juxtaposition capacity at the spatial coherence boundary can be shown to be structurally non-analogous — if the geometry of the comma in each domain refers to formally incomparable structures — the homology claim fails. The framework proposes they are comparable because both are instances of the same abstract structure: a sub-symmetry made available by a closed generative field at its boundary. Whether this abstraction is sufficient to ground genuine structural comparison or merely a suggestive analogy is the open empirical question the proxy feature program is designed to test.</w:t>
      </w:r>
    </w:p>
    <w:bookmarkEnd w:id="23"/>
    <w:bookmarkStart w:id="24" w:name="X9cd50af058f6b874125195ec1f8bbbb716c89ed"/>
    <w:p>
      <w:pPr>
        <w:pStyle w:val="Heading3"/>
      </w:pPr>
      <w:r>
        <w:t xml:space="preserve">4.4 The Proxy Feature Program: Formal Position Recovery</w:t>
      </w:r>
    </w:p>
    <w:p>
      <w:pPr>
        <w:pStyle w:val="FirstParagraph"/>
      </w:pPr>
      <w:r>
        <w:t xml:space="preserve">The fourth demonstration tests whether the framework’s structural positions are recoverable from measurable formal properties of works without natural language reasoning as intermediary. The first three demonstrations establish external corroboration: domain experts independently arriving at the same structural coordinates from different analytical starting points. This demonstration establishes formal recoverability: measurable features of the works themselves predicting the same coordinates the framework derives theoretically. Where the two methods agree, the formal ground is confirmed. Where they diverge, the divergence is diagnostic — it identifies either a feature extraction gap or a theoretical imprecision in the territory definition that the derivation alone cannot surface.</w:t>
      </w:r>
    </w:p>
    <w:p>
      <w:pPr>
        <w:pStyle w:val="BodyText"/>
      </w:pPr>
      <w:r>
        <w:t xml:space="preserve">The more theoretically significant result is from the literature kernel. A spaCy dependency parsing extractor was run against twelve works spanning Hemingway through Proust and Kafka, covering the full theoretical range from Infrastructure through Refusal. The primary axis — normalized mean parse depth — correctly ranked syntactic complexity in the expected direction but failed to separate the classifier’s coordinative and hypotactic territory groups. This is not a calibration error. The music kernel’s comma is a single incommensurability: stacked fifths produce one gap, diatonic distance measures it, and a single axis suffices. The syntax kernel’s comma admits multiple independent violation strategies arriving at the same structural limit through different mechanisms: elaborative complexity (Proust — maximum depth, maximum subordination, maximum sentence-length variance); operative disruption through subordination without depth (Kafka — second-highest subordination in the corpus, moderate parse depth, low variance; his sentences defer resolution through relentless clause-embedding); and lateral complexity operating above the syntactic level (James — lowest proxy scores on all three components except Hemingway, yet placed by the classifier in hypotactic territory alongside Dickens, Melville, and Woolf). The James case is precise rather than merely anomalous: his proxy scores actively measure the absence of the complexity the classifier detects. His sentences are syntactically simple; his complexity is semantic embedding — qualification, nested implication, deferred reference — that dependency parsing cannot reach. The proxy’s failure to see what the classifier sees locates the comma’s position with formal precision: the syntax kernel’s limit operates above the syntactic level. This implies a general methodological principle: the dimensionality of the proxy required to separate a kernel’s territories is evidence about the dimensionality of the kernel’s comma. Where a single axis suffices, the comma is a single incommensurability. Where a composite axis is required and still fails, the comma admits violation strategies operating at different levels of the domain’s generative structure. The proxy program did not fail to measure the syntax kernel’s comma. It measured it precisely enough to show where the theoretical definition requires extension.</w:t>
      </w:r>
    </w:p>
    <w:p>
      <w:pPr>
        <w:pStyle w:val="BodyText"/>
      </w:pPr>
      <w:r>
        <w:t xml:space="preserve">The music kernel result confirms the baseline. A harmonic feature extractor run against 341 Bach chorales. Zero classifications fell in hexatonic or chromatic territory — all 341 land in diatonic, acoustic, or harmonic_major_minor regions, consistent with the theoretical prediction that chorales following the fifth’s home logic stay within Infrastructure and Distribution. Minor mode chorales show a mean diatonic distance +0.0832 higher than major-key chorales — the first formally grounded, non-interpretive confirmation that minor mode pulls toward the boundary of the fifth’s home territory in exactly the direction the derivation predicts. A spectrum validation against 15 works from Mozart through Schoenberg achieves 46.7% territory match; failure modes point to scale-sensitive normalization as the next required refinement. A comparison run across 33 BWV-matched works against the kernel engagement classifier showed both instruments measuring real structure at different scales: the classifier reads all chorales as diatonic/infrastructure at the level of structural identity while the proxy measures finer-grained harmonic complexity within that territory. The 7/7 perfect agreement for diatonic-predicted works confirms the proxy baseline is sound. The music kernel’s field topology is recoverable from measurable harmonic properties.</w:t>
      </w:r>
    </w:p>
    <w:p>
      <w:pPr>
        <w:pStyle w:val="BodyText"/>
      </w:pPr>
      <w:r>
        <w:t xml:space="preserve">The methodological contribution of the fourth demonstration is the inverse of the first three. Demonstrations 1–3 test whether the framework’s theoretical predictions survive contact with independent expert judgment. The proxy program tests whether they survive contact with formal measurement. Expert judgment detects absorbed framing that measurement cannot see; measurement detects theoretical underspecification that expert judgment might rationalize away. A framework subjected to both has a more robust validation architecture than one subjected to either alone.</w:t>
      </w:r>
    </w:p>
    <w:bookmarkEnd w:id="24"/>
    <w:bookmarkEnd w:id="25"/>
    <w:bookmarkStart w:id="30" w:name="open-problems"/>
    <w:p>
      <w:pPr>
        <w:pStyle w:val="Heading2"/>
      </w:pPr>
      <w:r>
        <w:t xml:space="preserve">5. Open Problems</w:t>
      </w:r>
    </w:p>
    <w:p>
      <w:pPr>
        <w:pStyle w:val="FirstParagraph"/>
      </w:pPr>
      <w:r>
        <w:t xml:space="preserve">Three open problems are identified. Each represents a genuine limitation of the current framework rather than an implementation gap — they are structural challenges that the theoretical framework itself generates.</w:t>
      </w:r>
    </w:p>
    <w:bookmarkStart w:id="26" w:name="the-corpus-level-commitment-problem"/>
    <w:p>
      <w:pPr>
        <w:pStyle w:val="Heading3"/>
      </w:pPr>
      <w:r>
        <w:t xml:space="preserve">5.1 The Corpus-Level Commitment Problem</w:t>
      </w:r>
    </w:p>
    <w:p>
      <w:pPr>
        <w:pStyle w:val="FirstParagraph"/>
      </w:pPr>
      <w:r>
        <w:t xml:space="preserve">The framework’s derivation places Commitment as a distinct structural position: the kernel’s home logic extended with total fidelity until the operation and its limit become identical, arrived at through extension rather than negation. The canonical music example is Bach’s</w:t>
      </w:r>
      <w:r>
        <w:t xml:space="preserve"> </w:t>
      </w:r>
      <w:r>
        <w:rPr>
          <w:i/>
          <w:iCs/>
        </w:rPr>
        <w:t xml:space="preserve">Art of Fugue</w:t>
      </w:r>
      <w:r>
        <w:t xml:space="preserve"> </w:t>
      </w:r>
      <w:r>
        <w:t xml:space="preserve">— the fifth’s contrapuntal logic extended through every formal transformation of a single subject until the unfinished final fugue marks where the system’s own logic could not continue.</w:t>
      </w:r>
    </w:p>
    <w:p>
      <w:pPr>
        <w:pStyle w:val="BodyText"/>
      </w:pPr>
      <w:r>
        <w:t xml:space="preserve">The classification pipeline, however, returns Infrastructure for all non-chorale Bach works in the current corpus, including the</w:t>
      </w:r>
      <w:r>
        <w:t xml:space="preserve"> </w:t>
      </w:r>
      <w:r>
        <w:rPr>
          <w:i/>
          <w:iCs/>
        </w:rPr>
        <w:t xml:space="preserve">Art of Fugue</w:t>
      </w:r>
      <w:r>
        <w:t xml:space="preserve">. The pipeline classifies individual works. The Commitment argument for Bach is a corpus-level claim — it requires understanding that Bach’s lifelong practice of following the fifth’s contrapuntal logic with total fidelity accumulates until reaching a formal boundary. No single work contains the full argument. The</w:t>
      </w:r>
      <w:r>
        <w:t xml:space="preserve"> </w:t>
      </w:r>
      <w:r>
        <w:rPr>
          <w:i/>
          <w:iCs/>
        </w:rPr>
        <w:t xml:space="preserve">Art of Fugue</w:t>
      </w:r>
      <w:r>
        <w:t xml:space="preserve">’s break mid-phrase is the comma made audible through maximum fidelity — but the pipeline reading an individual profile cannot distinguish this from Infrastructure without the corpus-level context.</w:t>
      </w:r>
    </w:p>
    <w:p>
      <w:pPr>
        <w:pStyle w:val="BodyText"/>
      </w:pPr>
      <w:r>
        <w:t xml:space="preserve">This is a genuine theoretical gap, not a calibration error. The five-position derivation assumes that structural position is a property of individual works. The Bach case suggests that Commitment may be a property of a practitioner’s relationship to a constraint across a corpus — not recoverable from any single work in isolation. Two responses are possible. First: the kernel definition for The Fifth requires refinement to distinguish Infrastructure-at-depth from Commitment at the single-work level — the pipeline limitation reveals an underspecification in the theoretical framework. Second: Commitment is genuinely a corpus-level position for certain practitioners, and the framework requires a corpus-level classification layer in addition to the work-level classifier. Both responses are under active investigation. The pipeline limitation is documented as evidence of the theoretical gap rather than resolved by override. Section 3.4’s ontological note — that the derivation’s target space may need to be reformulated if Commitment turns out to be irreducibly corpus-level — is the theoretical consequence of this gap.</w:t>
      </w:r>
    </w:p>
    <w:bookmarkEnd w:id="26"/>
    <w:bookmarkStart w:id="27" w:name="the-proxy-feature-program"/>
    <w:p>
      <w:pPr>
        <w:pStyle w:val="Heading3"/>
      </w:pPr>
      <w:r>
        <w:t xml:space="preserve">5.2 The Proxy Feature Program</w:t>
      </w:r>
    </w:p>
    <w:p>
      <w:pPr>
        <w:pStyle w:val="FirstParagraph"/>
      </w:pPr>
      <w:r>
        <w:t xml:space="preserve">The classification pipeline currently uses natural language reasoning to arrive at structural coordinates rather than deriving them from formal properties of the work. This is the gap between the framework’s theoretical precision — the comma has a formal address, the territories have logical derivations — and the instrument’s inference process. Natural language reasoning is interpretively powerful but formally opaque: it is not possible to verify whether a classification follows from structural features of the work or from associations in training data.</w:t>
      </w:r>
    </w:p>
    <w:p>
      <w:pPr>
        <w:pStyle w:val="BodyText"/>
      </w:pPr>
      <w:r>
        <w:t xml:space="preserve">The path toward closing this gap is a domain-specific proxy feature program. Each kernel’s comma is measurable. The territories should be predictable from extracted features without natural language reasoning as intermediary. For the music kernel: spectral analysis of interval ratios, frequency of chromatic mediants, deviation from diatonic closure in the harmonic series — territory position should be predictable from spectral features. For the cinema kernel: cuts per minute, shot length variance, audio/video cut offset frequency, spatial axis violation rate — continuity territory from low variance and consistent axis, montage from high variance and axis violations, durational from near-zero cut density with sustained spatial coherence. For the architecture kernel: ratio of expressed to concealed structural members, cantilever depth, span-to-support ratio — tectonic territory from minimal redundancy, structural negation from measurable load path violations against structural models.</w:t>
      </w:r>
    </w:p>
    <w:p>
      <w:pPr>
        <w:pStyle w:val="BodyText"/>
      </w:pPr>
      <w:r>
        <w:t xml:space="preserve">The research program: build feature extractors for each domain and test whether extracted features predict territory classifications that match the current pipeline’s outputs. Where they match, the formal ground is confirmed. Where they diverge, the divergence is diagnostic. Section 4.4 presents the first results across two domains. The open problems remaining are: scale-sensitive normalization for the music extractor; threshold calibration for both domains against classifier territory assignments; and the James-level semantic complexity problem in the literature kernel, where the proxy measures the absence of the complexity the classifier detects, locating but not yet crossing the boundary between syntactic and semantic embedding. These are measurement problems, not theoretical ones. The theoretical finding — that proxy dimensionality reveals comma dimensionality — is established by the current results.</w:t>
      </w:r>
    </w:p>
    <w:bookmarkEnd w:id="27"/>
    <w:bookmarkStart w:id="28" w:name="the-epistemic-dependency-problem"/>
    <w:p>
      <w:pPr>
        <w:pStyle w:val="Heading3"/>
      </w:pPr>
      <w:r>
        <w:t xml:space="preserve">5.3 The Epistemic Dependency Problem</w:t>
      </w:r>
    </w:p>
    <w:p>
      <w:pPr>
        <w:pStyle w:val="FirstParagraph"/>
      </w:pPr>
      <w:r>
        <w:t xml:space="preserve">The classification pipeline operates on training data that includes the theoretical traditions it classifies within. This creates a structural epistemic dependency: the pipeline’s classifications may reproduce the judgments embedded in its training data rather than recovering structural positions independently. The Tymoczko correspondence is the clearest evidence of this dependency — specifically the exploitation target refinement, where the initial framing reproduced a common music-education framing that domain expertise corrected. The initial classification of</w:t>
      </w:r>
      <w:r>
        <w:t xml:space="preserve"> </w:t>
      </w:r>
      <w:r>
        <w:rPr>
          <w:i/>
          <w:iCs/>
        </w:rPr>
        <w:t xml:space="preserve">Giant Steps</w:t>
      </w:r>
      <w:r>
        <w:t xml:space="preserve"> </w:t>
      </w:r>
      <w:r>
        <w:t xml:space="preserve">identified the correct territory (Exploitation · hexatonic) but misidentified the exploitation target (circle of fifths rather than augmented triad symmetry). The error was not random — it reproduced a common theoretical framing in music education that treats</w:t>
      </w:r>
      <w:r>
        <w:t xml:space="preserve"> </w:t>
      </w:r>
      <w:r>
        <w:rPr>
          <w:i/>
          <w:iCs/>
        </w:rPr>
        <w:t xml:space="preserve">Giant Steps</w:t>
      </w:r>
      <w:r>
        <w:t xml:space="preserve"> </w:t>
      </w:r>
      <w:r>
        <w:t xml:space="preserve">primarily as a circle-of-fifths phenomenon. The correction required domain expertise that was not in the initial classification.</w:t>
      </w:r>
    </w:p>
    <w:p>
      <w:pPr>
        <w:pStyle w:val="BodyText"/>
      </w:pPr>
      <w:r>
        <w:t xml:space="preserve">This problem is structural rather than contingent. It cannot be eliminated by improving the pipeline — any system trained on human-generated knowledge inherits the theoretical commitments embedded in that knowledge. The question is not how to eliminate epistemic dependency but how to detect it and what constitutes genuine correction versus circular confirmation. The framework’s current methodology — correspondence with domain experts who identify specific errors — is a primitive version of what peer review, citation networks, and academic debate do for human knowledge production. Humans do not generate knowledge without prior theoretical commitments either; no practitioner or theorist works outside the traditions that formed them. The difference is not that human knowledge production escapes epistemic dependency — it is that human correction mechanisms are more developed, more socially distributed, and more institutionally formalized. FalseWork’s correspondence methodology is an early-stage analog to those mechanisms.</w:t>
      </w:r>
    </w:p>
    <w:p>
      <w:pPr>
        <w:pStyle w:val="BodyText"/>
      </w:pPr>
      <w:r>
        <w:t xml:space="preserve">The epistemic dependency problem as it applies specifically to AI classification systems — and its structural parallel to human knowledge production — is the subject of subsequent work. The framework here identifies the problem precisely, names the correction mechanism currently in use, and treats the Tymoczko exchange as evidence that genuine correction is possible rather than as evidence that the problem is solved.</w:t>
      </w:r>
    </w:p>
    <w:bookmarkEnd w:id="28"/>
    <w:bookmarkStart w:id="29" w:name="X8db52fdc896a3c75adea162fe476e72bfb0c85a"/>
    <w:p>
      <w:pPr>
        <w:pStyle w:val="Heading3"/>
      </w:pPr>
      <w:r>
        <w:t xml:space="preserve">5.4 Scholarly Precedent for Domain-Dependent Formalism</w:t>
      </w:r>
    </w:p>
    <w:p>
      <w:pPr>
        <w:pStyle w:val="FirstParagraph"/>
      </w:pPr>
      <w:r>
        <w:t xml:space="preserve">The three open problems above arise in a framework that is explicit about a methodological commitment: that different domains admit different degrees of formalism, and that the extension of the Incompleteness Condition (G ∧ R ∧ C) across music, cinema, architecture, literature, software, and physics involves progressively looser formal grounding — fully formal for software and physics where the condition follows from Gödel (1931) and Wolfram (2002), respectively, and progressively more structurally analogous for music, cinema, architecture, and literature, where the G ∧ R ∧ C mapping is presented as structural analogy rather than first-principles derivation. The cumulative series (Brink 2026a–e) treats this differential grounding as a feature of the problem rather than a defect of the analysis: physics and computation admit full formalism because the underlying systems are themselves formal; practice domains admit structural analogy because the underlying systems are not.</w:t>
      </w:r>
    </w:p>
    <w:p>
      <w:pPr>
        <w:pStyle w:val="BodyText"/>
      </w:pPr>
      <w:r>
        <w:t xml:space="preserve">This methodological commitment — that formalism is domain-dependent, that the single-formalism ideal is inadequate for cross-domain work, and that structural analogy at appropriate registers is a legitimate rather than defective methodological posture — has adjacent scholarly precedent in contemporary philosophy of science, independent of the present framework. George F. R. Ellis’s work on multi-level emergence and top-down causation (Ellis 2016; Ellis &amp; Drossel 2019, 2020) argues, on independent grounds in philosophy of physics and cosmology, that different organizational levels require different formalisms and that higher-level descriptions are not reducible to lower-level physics. Nancy Cartwright’s</w:t>
      </w:r>
      <w:r>
        <w:t xml:space="preserve"> </w:t>
      </w:r>
      <w:r>
        <w:rPr>
          <w:i/>
          <w:iCs/>
        </w:rPr>
        <w:t xml:space="preserve">Dappled World</w:t>
      </w:r>
      <w:r>
        <w:t xml:space="preserve"> </w:t>
      </w:r>
      <w:r>
        <w:t xml:space="preserve">(Cartwright 1999) argues, on independent grounds in philosophy of science, that scientific laws are local and domain-specific, that the universe is a</w:t>
      </w:r>
      <w:r>
        <w:t xml:space="preserve"> </w:t>
      </w:r>
      <w:r>
        <w:t xml:space="preserve">“dappled”</w:t>
      </w:r>
      <w:r>
        <w:t xml:space="preserve"> </w:t>
      </w:r>
      <w:r>
        <w:t xml:space="preserve">patchwork of different kinds of order, and that the single-formalism ideal is a methodological error rather than a regulative goal.</w:t>
      </w:r>
    </w:p>
    <w:p>
      <w:pPr>
        <w:pStyle w:val="BodyText"/>
      </w:pPr>
      <w:r>
        <w:t xml:space="preserve">These are not endorsements of the present framework. Neither Ellis nor Cartwright has evaluated the G ∧ R ∧ C mapping, the kernel/comma topology, or the five-position derivation. Their relevance is narrower: they establish that the methodological posture —</w:t>
      </w:r>
      <w:r>
        <w:t xml:space="preserve"> </w:t>
      </w:r>
      <w:r>
        <w:rPr>
          <w:i/>
          <w:iCs/>
        </w:rPr>
        <w:t xml:space="preserve">domain-dependent formalism is a principled stance, not a retreat from rigour</w:t>
      </w:r>
      <w:r>
        <w:t xml:space="preserve"> </w:t>
      </w:r>
      <w:r>
        <w:t xml:space="preserve">— has standing in contemporary philosophy of science independent of the present paper. The specific mapping between their frameworks and the present paper’s typology is tracked as an open validation claim at</w:t>
      </w:r>
      <w:r>
        <w:t xml:space="preserve"> </w:t>
      </w:r>
      <w:r>
        <w:rPr>
          <w:rStyle w:val="VerbatimChar"/>
        </w:rPr>
        <w:t xml:space="preserve">validation/claims/ellis-cartwright-philosophical-support.md</w:t>
      </w:r>
      <w:r>
        <w:t xml:space="preserve"> </w:t>
      </w:r>
      <w:r>
        <w:t xml:space="preserve">(GitHub issue</w:t>
      </w:r>
      <w:r>
        <w:t xml:space="preserve"> </w:t>
      </w:r>
      <w:hyperlink r:id="rId9">
        <w:r>
          <w:rPr>
            <w:rStyle w:val="Hyperlink"/>
          </w:rPr>
          <w:t xml:space="preserve">#10</w:t>
        </w:r>
      </w:hyperlink>
      <w:r>
        <w:t xml:space="preserve">) and requires independent assessment by a philosopher of science before it can be advanced beyond adjacent support. [REVIEW: philosopher of science]</w:t>
      </w:r>
    </w:p>
    <w:bookmarkEnd w:id="29"/>
    <w:bookmarkEnd w:id="30"/>
    <w:bookmarkStart w:id="31" w:name="conclusion"/>
    <w:p>
      <w:pPr>
        <w:pStyle w:val="Heading2"/>
      </w:pPr>
      <w:r>
        <w:t xml:space="preserve">6. Conclusion</w:t>
      </w:r>
    </w:p>
    <w:p>
      <w:pPr>
        <w:pStyle w:val="FirstParagraph"/>
      </w:pPr>
      <w:r>
        <w:t xml:space="preserve">This paper has proposed and derived a framework for structural classification of creative and scientific works across domains. Three claims are established.</w:t>
      </w:r>
    </w:p>
    <w:p>
      <w:pPr>
        <w:pStyle w:val="BodyText"/>
      </w:pPr>
      <w:r>
        <w:t xml:space="preserve">First, the Incompleteness Condition — formalized as G ∧ R ∧ C — holds for formal systems (Gödel 1931) and computational systems (Wolfram 2002). Its extension to domains of sustained human practice organized around a minimal generative operation is proposed as a hypothesis, tested through the kernel framework’s classification performance across six domains rather than proven from first principles. The kernel concept and the topology that follows are conditional on this extension.</w:t>
      </w:r>
    </w:p>
    <w:p>
      <w:pPr>
        <w:pStyle w:val="BodyText"/>
      </w:pPr>
      <w:r>
        <w:t xml:space="preserve">Second, from the Incompleteness Condition follows a specific domain-level structure: a kernel (the minimal self-limiting generative operation) generating a comma (the specific irresolvable gap at the kernel’s boundary) around which practitioners organize structurally distinct responses. Six kernels have been identified across six domains, with validation ranging from independent geometric corroboration (The Fifth, via Tymoczko) through three-of-four criteria confirmed (The Cut, via Cutting) to theoretical argument pending expert validation (Gravity, Syntax, The Conditional Branch) to uniquely contested comma (The Wave Function). Their commas are formally located. The field topology each comma generates — the space of possible structural positions relative to the gap — has the same invariant structure across all six domains.</w:t>
      </w:r>
    </w:p>
    <w:p>
      <w:pPr>
        <w:pStyle w:val="BodyText"/>
      </w:pPr>
      <w:r>
        <w:t xml:space="preserve">Third,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The five positions correspond to a predicate partition over the target space {field, geometry(L), limit}, where the three targets map to the three spatial relations to a boundary (interior, boundary structure, boundary itself), and the limit target further partitions by direction of approach (with the kernel’s logic, against it). These positions are proposed as mutually exclusive, collectively exhaustive, and domain-agnostic. The same topology appears across music, cinema, architecture, literature, software, and physics because the derivation applies wherever a kernel exists. Four empirical demonstrations ground this claim: independent corroboration of FalseWork’s three-way Coltrane discrimination by Tymoczko’s geometric framework, which maps the same three works onto the same three structural fields from a different analytical starting point; discrimination between two works sharing identical three-axis classifications by exploitation target within the cinema kernel; a cross-domain structural comparison between Coltrane’s</w:t>
      </w:r>
      <w:r>
        <w:t xml:space="preserve"> </w:t>
      </w:r>
      <w:r>
        <w:rPr>
          <w:i/>
          <w:iCs/>
        </w:rPr>
        <w:t xml:space="preserve">Giant Steps</w:t>
      </w:r>
      <w:r>
        <w:t xml:space="preserve"> </w:t>
      </w:r>
      <w:r>
        <w:t xml:space="preserve">and Eisenstein’s Odessa Steps sequence at full resolution; and a proxy feature program demonstration showing that the music kernel’s field topology is recoverable from measurable harmonic properties and that proxy failure in the literature kernel reveals internal structure of the syntax comma the theoretical definition had not fully specified.</w:t>
      </w:r>
    </w:p>
    <w:p>
      <w:pPr>
        <w:pStyle w:val="BodyText"/>
      </w:pPr>
      <w:r>
        <w:rPr>
          <w:b/>
          <w:bCs/>
        </w:rPr>
        <w:t xml:space="preserve">What this paper does not claim.</w:t>
      </w:r>
      <w:r>
        <w:t xml:space="preserve"> </w:t>
      </w:r>
      <w:r>
        <w:t xml:space="preserve">The framework does not claim that the five positions are proven exhaustive — they are proposed as exhaustive under the current derivation, with persistent classification failure treated as evidence of kernel misspecification rather than topological incompleteness. The framework does not claim that the classification pipeline recovers structural positions without epistemic dependency on its training data — the dependency is structural and acknowledged. The framework does not claim that the cross-domain homology is more than a structural correspondence — it does not assert that works at identical coordinates are aesthetically equivalent, historically connected, or mutually illuminating in any sense beyond the formal structural argument.</w:t>
      </w:r>
    </w:p>
    <w:p>
      <w:pPr>
        <w:pStyle w:val="BodyText"/>
      </w:pPr>
      <w:r>
        <w:rPr>
          <w:b/>
          <w:bCs/>
        </w:rPr>
        <w:t xml:space="preserve">The validation architecture.</w:t>
      </w:r>
      <w:r>
        <w:t xml:space="preserve"> </w:t>
      </w:r>
      <w:r>
        <w:t xml:space="preserve">The framework’s epistemological foundation is not derivational authority but continuous validation through domain expert engagement. Structural positions derived from first principles are tested against domain expertise. Where experts independently corroborate the framework — as Tymoczko’s geometric framework independently mapped the same three Coltrane works onto the same three structural fields — the convergence is evidence that the classification is tracking real structure. Where experts refine specific claims — as Tymoczko’s note on the major-third cycle refined the exploitation target for</w:t>
      </w:r>
      <w:r>
        <w:t xml:space="preserve"> </w:t>
      </w:r>
      <w:r>
        <w:rPr>
          <w:i/>
          <w:iCs/>
        </w:rPr>
        <w:t xml:space="preserve">Giant Steps</w:t>
      </w:r>
      <w:r>
        <w:t xml:space="preserve"> </w:t>
      </w:r>
      <w:r>
        <w:t xml:space="preserve">— the refinement is evidence that the validation layer is functioning, not evidence that the framework is unreliable. Where experts express skepticism — as both Tymoczko and Cutting did regarding their respective comma formulations — the skepticism is documented as an open problem rather than resolved by assertion. A framework immune to expert correction is not rigorous. A framework continuously revised through expert engagement is doing what any scientific instrument does when calibrated against ground truth. This process is not remediation of errors. It is the framework’s epistemological architecture. Every kernel claim, every territory boundary, every cross-domain homology is under active review by domain experts in the relevant fields. The framework’s authority rests not on the credentials of its author but on the correction and validation process — specific claims confirmed or refuted by domain experts, the framework revising accordingly.</w:t>
      </w:r>
    </w:p>
    <w:p>
      <w:pPr>
        <w:pStyle w:val="BodyText"/>
      </w:pPr>
      <w:r>
        <w:t xml:space="preserve">The comma is not incidental to a domain’s history — it is what makes the domain generative rather than merely productive. Every significant work in every domain is at some level a response to the comma the kernel generates.</w:t>
      </w:r>
    </w:p>
    <w:p>
      <w:pPr>
        <w:pStyle w:val="BodyText"/>
      </w:pPr>
      <w:r>
        <w:t xml:space="preserve">Humans do not generate knowledge without prior theoretical commitments. No practitioner or theorist works outside the traditions that formed them. The pipeline’s epistemic dependency on its training data is not a deficiency unique to computational systems — it is a structural condition shared with human knowledge production. What differs is the maturity of the correction mechanism. The framework’s domain expert correspondence is an early-stage analog to peer review, citation networks, and academic debate. It is primitive relative to those mechanisms and more developed than no mechanism at all. The second paper this framework generates concerns that parallel directly — what AI epistemic dependency shares with human knowledge production, what genuine correction looks like at the primitive stage, and what a mature validation architecture for computational structural analysis would require.</w:t>
      </w:r>
    </w:p>
    <w:p>
      <w:pPr>
        <w:pStyle w:val="BodyText"/>
      </w:pPr>
      <w:r>
        <w:rPr>
          <w:b/>
          <w:bCs/>
        </w:rPr>
        <w:t xml:space="preserve">What comes next.</w:t>
      </w:r>
      <w:r>
        <w:t xml:space="preserve"> </w:t>
      </w:r>
      <w:r>
        <w:t xml:space="preserve">Three research directions follow from the open problems identified in Section 5. The corpus-level Commitment problem requires either refinement of the kernel definition to distinguish Infrastructure-at-depth from Commitment at the single-work level, or development of a corpus-level classification layer that operates across a practitioner’s output rather than on individual works. The proxy feature program requires domain-specific feature extractors whose outputs can be compared against the current pipeline’s classifications — where they match, formal ground is confirmed; where they diverge, theoretical imprecision is identified. The epistemic dependency problem, and its structural parallel to human knowledge production, is the subject of subsequent work.</w:t>
      </w:r>
    </w:p>
    <w:p>
      <w:pPr>
        <w:pStyle w:val="BodyText"/>
      </w:pPr>
      <w:r>
        <w:t xml:space="preserve">The framework is implemented as a computational classification instrument at FalseWork (Brink 2026). The platform is the operational demonstration. This paper is the theoretical argument. Both are under continuous revision.</w:t>
      </w:r>
    </w:p>
    <w:bookmarkEnd w:id="31"/>
    <w:bookmarkStart w:id="32" w:name="references"/>
    <w:p>
      <w:pPr>
        <w:pStyle w:val="Heading2"/>
      </w:pPr>
      <w:r>
        <w:t xml:space="preserve">References</w:t>
      </w:r>
    </w:p>
    <w:p>
      <w:pPr>
        <w:pStyle w:val="FirstParagraph"/>
      </w:pPr>
      <w:r>
        <w:t xml:space="preserve">Brink, C. (2026). FalseWork: A computational instrument for structural analysis of creative and scientific works [Software/Platform]. https://falsework.dev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Barreto, J. R. (2025). A survey on Lawvere’s fixed-point theorem. arXiv:2503.13536.</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Cartwright, N. (1999).</w:t>
      </w:r>
      <w:r>
        <w:t xml:space="preserve"> </w:t>
      </w:r>
      <w:r>
        <w:rPr>
          <w:i/>
          <w:iCs/>
        </w:rPr>
        <w:t xml:space="preserve">The dappled world: A study of the boundaries of science</w:t>
      </w:r>
      <w:r>
        <w:t xml:space="preserve">. Cambridge University Press.</w:t>
      </w:r>
    </w:p>
    <w:p>
      <w:pPr>
        <w:pStyle w:val="BodyText"/>
      </w:pPr>
      <w:r>
        <w:t xml:space="preserve">Cubitt, T. S., Perez-Garcia, D., &amp; Wolf, M. M. (2015). Undecidability of the spectral gap.</w:t>
      </w:r>
      <w:r>
        <w:t xml:space="preserve"> </w:t>
      </w:r>
      <w:r>
        <w:rPr>
          <w:i/>
          <w:iCs/>
        </w:rPr>
        <w:t xml:space="preserve">Nature</w:t>
      </w:r>
      <w:r>
        <w:t xml:space="preserve">, 528, 207–211.</w:t>
      </w:r>
    </w:p>
    <w:p>
      <w:pPr>
        <w:pStyle w:val="BodyText"/>
      </w:pPr>
      <w:r>
        <w:t xml:space="preserve">Cutting, J. E. (forthcoming).</w:t>
      </w:r>
      <w:r>
        <w:t xml:space="preserve"> </w:t>
      </w:r>
      <w:r>
        <w:rPr>
          <w:i/>
          <w:iCs/>
        </w:rPr>
        <w:t xml:space="preserve">Four cinematic forms and their psychological bases</w:t>
      </w:r>
      <w:r>
        <w:t xml:space="preserve">. University of Texas Press.</w:t>
      </w:r>
    </w:p>
    <w:p>
      <w:pPr>
        <w:pStyle w:val="BodyText"/>
      </w:pPr>
      <w:r>
        <w:t xml:space="preserve">Cutting, J. E., DeLong, J. E., &amp; Nothelfer, C. E. (2010). Attention and the evolution of Hollywood film.</w:t>
      </w:r>
      <w:r>
        <w:t xml:space="preserve"> </w:t>
      </w:r>
      <w:r>
        <w:rPr>
          <w:i/>
          <w:iCs/>
        </w:rPr>
        <w:t xml:space="preserve">Psychological Science</w:t>
      </w:r>
      <w:r>
        <w:t xml:space="preserve">, 21(3), 432–439.</w:t>
      </w:r>
    </w:p>
    <w:p>
      <w:pPr>
        <w:pStyle w:val="BodyText"/>
      </w:pPr>
      <w:r>
        <w:t xml:space="preserve">Cutting, J. E. Personal correspondence. 2026.</w:t>
      </w:r>
    </w:p>
    <w:p>
      <w:pPr>
        <w:pStyle w:val="BodyText"/>
      </w:pPr>
      <w:r>
        <w:t xml:space="preserve">Dennett, D. C. (1991). Real patterns.</w:t>
      </w:r>
      <w:r>
        <w:t xml:space="preserve"> </w:t>
      </w:r>
      <w:r>
        <w:rPr>
          <w:i/>
          <w:iCs/>
        </w:rPr>
        <w:t xml:space="preserve">Journal of Philosophy</w:t>
      </w:r>
      <w:r>
        <w:t xml:space="preserve">, 88(1), 27–51.</w:t>
      </w:r>
    </w:p>
    <w:p>
      <w:pPr>
        <w:pStyle w:val="BodyText"/>
      </w:pPr>
      <w:r>
        <w:t xml:space="preserve">Eisenstein, S. (1949).</w:t>
      </w:r>
      <w:r>
        <w:t xml:space="preserve"> </w:t>
      </w:r>
      <w:r>
        <w:rPr>
          <w:i/>
          <w:iCs/>
        </w:rPr>
        <w:t xml:space="preserve">Film form: Essays in film theory</w:t>
      </w:r>
      <w:r>
        <w:t xml:space="preserve"> </w:t>
      </w:r>
      <w:r>
        <w:t xml:space="preserve">(J. Leyda, Trans.). Harcourt Brace.</w:t>
      </w:r>
    </w:p>
    <w:p>
      <w:pPr>
        <w:pStyle w:val="BodyText"/>
      </w:pPr>
      <w:r>
        <w:t xml:space="preserve">Ellis, G. F. R. (2016).</w:t>
      </w:r>
      <w:r>
        <w:t xml:space="preserve"> </w:t>
      </w:r>
      <w:r>
        <w:rPr>
          <w:i/>
          <w:iCs/>
        </w:rPr>
        <w:t xml:space="preserve">How can physics underlie the mind? Top-down causation in the human context</w:t>
      </w:r>
      <w:r>
        <w:t xml:space="preserve">. Springer.</w:t>
      </w:r>
    </w:p>
    <w:p>
      <w:pPr>
        <w:pStyle w:val="BodyText"/>
      </w:pPr>
      <w:r>
        <w:t xml:space="preserve">Ellis, G. F. R., &amp; Drossel, B. (2019). How downwards causation occurs in digital computers.</w:t>
      </w:r>
      <w:r>
        <w:t xml:space="preserve"> </w:t>
      </w:r>
      <w:r>
        <w:rPr>
          <w:i/>
          <w:iCs/>
        </w:rPr>
        <w:t xml:space="preserve">Foundations of Physics</w:t>
      </w:r>
      <w:r>
        <w:t xml:space="preserve">, 49(11), 1253–1277.</w:t>
      </w:r>
    </w:p>
    <w:p>
      <w:pPr>
        <w:pStyle w:val="BodyText"/>
      </w:pPr>
      <w:r>
        <w:t xml:space="preserve">Ellis, G. F. R., &amp; Drossel, B. (2020). Contextual wavefunction collapse: An integrated theory of quantum measurement.</w:t>
      </w:r>
      <w:r>
        <w:t xml:space="preserve"> </w:t>
      </w:r>
      <w:r>
        <w:rPr>
          <w:i/>
          <w:iCs/>
        </w:rPr>
        <w:t xml:space="preserve">New Journal of Physics</w:t>
      </w:r>
      <w:r>
        <w:t xml:space="preserve">, 22, 033051.</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Hofstadter, D. R. (1979).</w:t>
      </w:r>
      <w:r>
        <w:t xml:space="preserve"> </w:t>
      </w:r>
      <w:r>
        <w:rPr>
          <w:i/>
          <w:iCs/>
        </w:rPr>
        <w:t xml:space="preserve">Gödel, Escher, Bach: An eternal golden braid</w:t>
      </w:r>
      <w:r>
        <w:t xml:space="preserve">. Basic Books.</w:t>
      </w:r>
    </w:p>
    <w:p>
      <w:pPr>
        <w:pStyle w:val="BodyText"/>
      </w:pPr>
      <w:r>
        <w:t xml:space="preserve">Lakatos, I. (1978).</w:t>
      </w:r>
      <w:r>
        <w:t xml:space="preserve"> </w:t>
      </w:r>
      <w:r>
        <w:rPr>
          <w:i/>
          <w:iCs/>
        </w:rPr>
        <w:t xml:space="preserve">The methodology of scientific research programmes</w:t>
      </w:r>
      <w:r>
        <w:t xml:space="preserve"> </w:t>
      </w:r>
      <w:r>
        <w:t xml:space="preserve">(Philosophical papers, Vol. 1). Cambridge University Press.</w:t>
      </w:r>
    </w:p>
    <w:p>
      <w:pPr>
        <w:pStyle w:val="BodyText"/>
      </w:pPr>
      <w:r>
        <w:t xml:space="preserve">Lawvere, F. W. (1969). Diagonal arguments and Cartesian closed categories. In</w:t>
      </w:r>
      <w:r>
        <w:t xml:space="preserve"> </w:t>
      </w:r>
      <w:r>
        <w:rPr>
          <w:i/>
          <w:iCs/>
        </w:rPr>
        <w:t xml:space="preserve">Category Theory, Homology Theory and their Applications II</w:t>
      </w:r>
      <w:r>
        <w:t xml:space="preserve"> </w:t>
      </w:r>
      <w:r>
        <w:t xml:space="preserve">(Lecture Notes in Mathematics, vol. 92, pp. 134–145). Springer. Reprinted with author commentary (2006),</w:t>
      </w:r>
      <w:r>
        <w:t xml:space="preserve"> </w:t>
      </w:r>
      <w:r>
        <w:rPr>
          <w:i/>
          <w:iCs/>
        </w:rPr>
        <w:t xml:space="preserve">Reprints in Theory and Applications of Categories</w:t>
      </w:r>
      <w:r>
        <w:t xml:space="preserve">, 15, 1–13.</w:t>
      </w:r>
    </w:p>
    <w:p>
      <w:pPr>
        <w:pStyle w:val="BodyText"/>
      </w:pPr>
      <w:r>
        <w:t xml:space="preserve">Lateef, Y. (1981).</w:t>
      </w:r>
      <w:r>
        <w:t xml:space="preserve"> </w:t>
      </w:r>
      <w:r>
        <w:rPr>
          <w:i/>
          <w:iCs/>
        </w:rPr>
        <w:t xml:space="preserve">Repository of scales and melodic patterns</w:t>
      </w:r>
      <w:r>
        <w:t xml:space="preserve">. Fana Music.</w:t>
      </w:r>
    </w:p>
    <w:p>
      <w:pPr>
        <w:pStyle w:val="BodyText"/>
      </w:pPr>
      <w:r>
        <w:t xml:space="preserve">Levin, I. (2026a). Epistemology of generative AI: The geometry of knowing. arXiv preprint arXiv:2602.17116.</w:t>
      </w:r>
    </w:p>
    <w:p>
      <w:pPr>
        <w:pStyle w:val="BodyText"/>
      </w:pPr>
      <w:r>
        <w:t xml:space="preserve">Levin, I. (2026b). Understanding the nature of generative AI as threshold logic in high-dimensional space. arXiv preprint arXiv:2604.02476.</w:t>
      </w:r>
    </w:p>
    <w:p>
      <w:pPr>
        <w:pStyle w:val="BodyText"/>
      </w:pPr>
      <w:r>
        <w:t xml:space="preserve">Nardelli, M. B. (2019). Topology of networks in generalized musical spaces. arXiv:1905.01842.</w:t>
      </w:r>
    </w:p>
    <w:p>
      <w:pPr>
        <w:pStyle w:val="BodyText"/>
      </w:pPr>
      <w:r>
        <w:t xml:space="preserve">Rice, H. G. (1953). Classes of recursively enumerable sets and their decision problems.</w:t>
      </w:r>
      <w:r>
        <w:t xml:space="preserve"> </w:t>
      </w:r>
      <w:r>
        <w:rPr>
          <w:i/>
          <w:iCs/>
        </w:rPr>
        <w:t xml:space="preserve">Transactions of the American Mathematical Society</w:t>
      </w:r>
      <w:r>
        <w:t xml:space="preserve">, 74(2), 358–366.</w:t>
      </w:r>
    </w:p>
    <w:p>
      <w:pPr>
        <w:pStyle w:val="BodyText"/>
      </w:pPr>
      <w:r>
        <w:t xml:space="preserve">Tymoczko, D. (2006). The geometry of musical chords.</w:t>
      </w:r>
      <w:r>
        <w:t xml:space="preserve"> </w:t>
      </w:r>
      <w:r>
        <w:rPr>
          <w:i/>
          <w:iCs/>
        </w:rPr>
        <w:t xml:space="preserve">Science</w:t>
      </w:r>
      <w:r>
        <w:t xml:space="preserve">, 313(5783), 72–74.</w:t>
      </w:r>
    </w:p>
    <w:p>
      <w:pPr>
        <w:pStyle w:val="BodyText"/>
      </w:pPr>
      <w:r>
        <w:t xml:space="preserve">Tymoczko, D. (2011).</w:t>
      </w:r>
      <w:r>
        <w:t xml:space="preserve"> </w:t>
      </w:r>
      <w:r>
        <w:rPr>
          <w:i/>
          <w:iCs/>
        </w:rPr>
        <w:t xml:space="preserve">A geometry of music: Harmony and counterpoint in the extended common practice</w:t>
      </w:r>
      <w:r>
        <w:t xml:space="preserve">. Oxford University Press.</w:t>
      </w:r>
    </w:p>
    <w:p>
      <w:pPr>
        <w:pStyle w:val="BodyText"/>
      </w:pPr>
      <w:r>
        <w:t xml:space="preserve">Tymoczko, D. (forthcoming). The concept of musical space.</w:t>
      </w:r>
      <w:r>
        <w:t xml:space="preserve"> </w:t>
      </w:r>
      <w:r>
        <w:rPr>
          <w:i/>
          <w:iCs/>
        </w:rPr>
        <w:t xml:space="preserve">Journal of Music Theory</w:t>
      </w:r>
      <w:r>
        <w:t xml:space="preserve">.</w:t>
      </w:r>
    </w:p>
    <w:p>
      <w:pPr>
        <w:pStyle w:val="BodyText"/>
      </w:pPr>
      <w:r>
        <w:t xml:space="preserve">Tymoczko, D. Personal correspondence. 2026.</w:t>
      </w:r>
    </w:p>
    <w:p>
      <w:pPr>
        <w:pStyle w:val="BodyText"/>
      </w:pPr>
      <w:r>
        <w:t xml:space="preserve">Wolfram, S. (2002).</w:t>
      </w:r>
      <w:r>
        <w:t xml:space="preserve"> </w:t>
      </w:r>
      <w:r>
        <w:rPr>
          <w:i/>
          <w:iCs/>
        </w:rPr>
        <w:t xml:space="preserve">A new kind of science</w:t>
      </w:r>
      <w:r>
        <w:t xml:space="preserve">. Wolfram Media.</w:t>
      </w:r>
    </w:p>
    <w:p>
      <w:pPr>
        <w:pStyle w:val="BodyText"/>
      </w:pPr>
      <w:r>
        <w:t xml:space="preserve">Yanofsky, N. S. (2003). A universal approach to self-referential paradoxes, incompleteness and fixed points.</w:t>
      </w:r>
      <w:r>
        <w:t xml:space="preserve"> </w:t>
      </w:r>
      <w:r>
        <w:rPr>
          <w:i/>
          <w:iCs/>
        </w:rPr>
        <w:t xml:space="preserve">The Bulletin of Symbolic Logic</w:t>
      </w:r>
      <w:r>
        <w:t xml:space="preserve">, 9(3), 362–386. arXiv:math/0305282.</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validation/claims/threshold-kernel-candidate.md" TargetMode="External" /><Relationship Type="http://schemas.openxmlformats.org/officeDocument/2006/relationships/hyperlink" Id="rId9" Target="https://github.com/thefalsework/papers/issues/10" TargetMode="External" /></Relationships>
</file>

<file path=word/_rels/footnotes.xml.rels><?xml version="1.0" encoding="UTF-8"?><Relationships xmlns="http://schemas.openxmlformats.org/package/2006/relationships"><Relationship Type="http://schemas.openxmlformats.org/officeDocument/2006/relationships/hyperlink" Id="rId12" Target="../../validation/claims/threshold-kernel-candidate.md" TargetMode="External" /><Relationship Type="http://schemas.openxmlformats.org/officeDocument/2006/relationships/hyperlink" Id="rId9" Target="https://github.com/thefalsework/papers/issues/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2026-05-10T00:38:46Z</dcterms:created>
  <dcterms:modified xsi:type="dcterms:W3CDTF">2026-05-10T00:38:46Z</dcterms:modified>
</cp:coreProperties>
</file>

<file path=docProps/custom.xml><?xml version="1.0" encoding="utf-8"?>
<Properties xmlns="http://schemas.openxmlformats.org/officeDocument/2006/custom-properties" xmlns:vt="http://schemas.openxmlformats.org/officeDocument/2006/docPropsVTypes"/>
</file>