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Distinction</w:t>
      </w:r>
      <w:r>
        <w:t xml:space="preserve"> </w:t>
      </w:r>
      <w:r>
        <w:t xml:space="preserve">Operation</w:t>
      </w:r>
      <w:r>
        <w:t xml:space="preserve"> </w:t>
      </w:r>
      <w:r>
        <w:t xml:space="preserve">and</w:t>
      </w:r>
      <w:r>
        <w:t xml:space="preserve"> </w:t>
      </w:r>
      <w:r>
        <w:t xml:space="preserve">the</w:t>
      </w:r>
      <w:r>
        <w:t xml:space="preserve"> </w:t>
      </w:r>
      <w:r>
        <w:t xml:space="preserve">Generative</w:t>
      </w:r>
      <w:r>
        <w:t xml:space="preserve"> </w:t>
      </w:r>
      <w:r>
        <w:t xml:space="preserve">Floor:</w:t>
      </w:r>
      <w:r>
        <w:t xml:space="preserve"> </w:t>
      </w:r>
      <w:r>
        <w:t xml:space="preserve">Asymmetry,</w:t>
      </w:r>
      <w:r>
        <w:t xml:space="preserve"> </w:t>
      </w:r>
      <w:r>
        <w:t xml:space="preserve">Incompleteness,</w:t>
      </w:r>
      <w:r>
        <w:t xml:space="preserve"> </w:t>
      </w:r>
      <w:r>
        <w:t xml:space="preserve">and</w:t>
      </w:r>
      <w:r>
        <w:t xml:space="preserve"> </w:t>
      </w:r>
      <w:r>
        <w:t xml:space="preserve">the</w:t>
      </w:r>
      <w:r>
        <w:t xml:space="preserve"> </w:t>
      </w:r>
      <w:r>
        <w:t xml:space="preserve">Structural</w:t>
      </w:r>
      <w:r>
        <w:t xml:space="preserve"> </w:t>
      </w:r>
      <w:r>
        <w:t xml:space="preserve">Unity</w:t>
      </w:r>
      <w:r>
        <w:t xml:space="preserve"> </w:t>
      </w:r>
      <w:r>
        <w:t xml:space="preserve">of</w:t>
      </w:r>
      <w:r>
        <w:t xml:space="preserve"> </w:t>
      </w:r>
      <w:r>
        <w:t xml:space="preserve">Domain</w:t>
      </w:r>
      <w:r>
        <w:t xml:space="preserve"> </w:t>
      </w:r>
      <w:r>
        <w:t xml:space="preserve">Kernels</w:t>
      </w:r>
    </w:p>
    <w:p>
      <w:pPr>
        <w:pStyle w:val="Author"/>
      </w:pPr>
      <w:r>
        <w:t xml:space="preserve">Chris</w:t>
      </w:r>
      <w:r>
        <w:t xml:space="preserve"> </w:t>
      </w:r>
      <w:r>
        <w:t xml:space="preserve">Brink</w:t>
      </w:r>
    </w:p>
    <w:p>
      <w:pPr>
        <w:pStyle w:val="FirstParagraph"/>
      </w:pPr>
      <w:r>
        <w:rPr>
          <w:bCs/>
          <w:b/>
        </w:rPr>
        <w:t xml:space="preserve">Chris Brink</w:t>
      </w:r>
    </w:p>
    <w:p>
      <w:pPr>
        <w:pStyle w:val="BodyText"/>
      </w:pPr>
      <w:r>
        <w:t xml:space="preserve">FalseWork (falsework.dev)</w:t>
      </w:r>
    </w:p>
    <w:p>
      <w:pPr>
        <w:pStyle w:val="BodyText"/>
      </w:pPr>
      <w:r>
        <w:rPr>
          <w:iCs/>
          <w:i/>
        </w:rPr>
        <w:t xml:space="preserve">Version 9.1. Revisions from version 9.0: a Continuum Hypothesis paragraph added at the end of § 5.1 noting that Cantor’s own transfinite-cardinality programme generated within itself a Gödel-type undecidable construct (CH, shown consistent with ZFC by Gödel 1940 and independent of ZFC by Cohen 1963), exhibiting the framework’s predicted self-similar emergence of commas within extensions. Paper 3 § 4’s D1–D4 formulation remains at v9.0 pending human-verified specialist engagement with the categorical formalization proposed by external review; a future v10.0 pass will revise § 4 in light of that verification.</w:t>
      </w:r>
    </w:p>
    <w:p>
      <w:pPr>
        <w:pStyle w:val="BodyText"/>
      </w:pPr>
      <w:r>
        <w:rPr>
          <w:iCs/>
          <w:i/>
        </w:rPr>
        <w:t xml:space="preserve">Version 9.0. Revisions from version 8.0: new Section 5 (Level 1 — the set-theoretic root and the arithmetical ladder ℕ → ℤ → ℚ → ℝ → ℂ → ℍ → 𝕆, including Cayley–Dickson, Hurwitz, Frobenius, Baker, and Hankel’s principle of permanence); a D4-as-research-direction paragraph using the ladder as a concrete test case for the subcategory-vs-full-Lawvere-comma question; and version-tagged cross-references to Paper 1 (v11.3), Paper 2 (v8.2), Paper 4 (v5.0), and the Pythagorean companion (Brink 2026e). No substantive revision of the Level-0/Level-1 disambiguation, D4/comma-category honesty note, or Russell-vs-Gödel distinction introduced at v8.0.</w:t>
      </w:r>
    </w:p>
    <w:p>
      <w:pPr>
        <w:pStyle w:val="BodyText"/>
      </w:pPr>
      <w:r>
        <w:rPr>
          <w:iCs/>
          <w:i/>
        </w:rPr>
        <w:t xml:space="preserve">Working draft — concept stage. Arguments marked [REQUIRES FORMAL VALIDATION] need external expert engagement before the claims can be advanced as settled. The category-theoretic formalization in Section 4 is a first attempt, not a reviewed result.</w:t>
      </w:r>
    </w:p>
    <w:bookmarkStart w:id="20" w:name="abstract"/>
    <w:p>
      <w:pPr>
        <w:pStyle w:val="Heading2"/>
      </w:pPr>
      <w:r>
        <w:t xml:space="preserve">Abstract</w:t>
      </w:r>
    </w:p>
    <w:p>
      <w:pPr>
        <w:pStyle w:val="FirstParagraph"/>
      </w:pPr>
      <w:r>
        <w:t xml:space="preserve">The first paper in this series (Brink 2026a) derived five universal structural positions from the properties of domain kernels — minimal self-limiting generative operations that organize sustained human creative practice. The second paper (Brink 2026b) demonstrated that the epistemic dependency of knowledge-producing systems is the same structural condition as the comma — the irresolvable gap the kernel generates at its own boundary. This paper develops the argument one level further: the six domain kernels are not six analogous structures. They are six instantiations of a single, more primitive operation — the distinction operation — in six different material substrates. The comma is not a metaphor for physical asymmetry. It is the same phenomenon — the irresolvable asymmetry that distinction introduces — operating at the scale of human creative practice.</w:t>
      </w:r>
    </w:p>
    <w:p>
      <w:pPr>
        <w:pStyle w:val="BodyText"/>
      </w:pPr>
      <w:r>
        <w:t xml:space="preserve">This claim connects seven levels of the same structure: Cantor’s (1891) diagonal argument and power set theorem as the set-theoretic root — the most elementary formal demonstration that the distinction operation generates a boundary strictly larger than the system that produced it; Spencer-Brown’s (1969) formal derivation of logic from distinction; spontaneous symmetry breaking as the physical instantiation, with Noether’s theorem establishing the formal connection between symmetry and conservation; Wolfram’s (2002) computational irreducibility and the Ruliad as the computational instantiation; Gödel’s (1931) incompleteness theorems as the formal-logical instantiation; and the domain kernels as the sixth level — human practice domains organized around operations that are downstream of the distinction operation, inheriting its asymmetry and its irresolvability. The seventh level, developed in the second paper (Brink 2026b), is the epistemic dependency of knowledge-producing systems: the finding that the semantic manifold any knowledge-producing system navigates is strictly smaller than the space of all possible analytical frames for its domain, and that this gap — the correction mechanism’s target — has the same structure as the comma at every lower level. A Level 0 — the universe as continuous asymmetric process prior to any distinction — is noted here and developed in the fourth paper (Brink 2026d). The five structural positions derived in the first paper are strategies for navigating an asymmetry that no operation within any of these systems can eliminate.</w:t>
      </w:r>
    </w:p>
    <w:bookmarkEnd w:id="20"/>
    <w:bookmarkStart w:id="21" w:name="the-problem"/>
    <w:p>
      <w:pPr>
        <w:pStyle w:val="Heading2"/>
      </w:pPr>
      <w:r>
        <w:t xml:space="preserve">1. The Problem</w:t>
      </w:r>
    </w:p>
    <w:p>
      <w:pPr>
        <w:pStyle w:val="FirstParagraph"/>
      </w:pPr>
      <w:r>
        <w:t xml:space="preserve">The first paper derived five structural positions from domain kernels across six validated domains: music, cinema, architecture, literature, software, and physics. The derivation was domain-specific in its starting points — the Fifth, the Cut, Gravity, Syntax, the Branch/Halt, the Wave Function — but domain-independent in its output. The same five positions appeared across all six domains. The explanation offered in the first paper was structural: the positions follow from the logical partition of the target space relative to any kernel boundary, so they appear wherever a kernel exists.</w:t>
      </w:r>
    </w:p>
    <w:p>
      <w:pPr>
        <w:pStyle w:val="BodyText"/>
      </w:pPr>
      <w:r>
        <w:t xml:space="preserve">That explanation is correct but incomplete. It establishes that the positions follow from the kernel structure. It does not explain why kernels exist, or why they take the specific form they do — minimal, self-limiting, generative, incompleteness-generating — across domains as different as music and quantum physics. The answer to that question requires going one level deeper: to the operation from which kernels are themselves downstream.</w:t>
      </w:r>
    </w:p>
    <w:p>
      <w:pPr>
        <w:pStyle w:val="BodyText"/>
      </w:pPr>
      <w:r>
        <w:t xml:space="preserve">This paper proposes that operation is the distinction operation — Spencer-Brown’s (1969) formal primitive, the minimal act of drawing a boundary, of producing a marked side and an unmarked side. The proposal has a specific, falsifiable content: the irresolvable asymmetry that the distinction operation introduces propagates through every system it generates, appearing as the comma at the level of domain practice, as the halting problem and Rice’s theorem at the level of computation, as Gödel incompleteness at the level of formal logic, as spectral gap undecidability at the level of quantum systems, and as spontaneous symmetry breaking at the level of physics. These are not analogies. They are the same structure at different scales, connected by a formal derivation that this paper develops.</w:t>
      </w:r>
    </w:p>
    <w:p>
      <w:pPr>
        <w:pStyle w:val="BodyText"/>
      </w:pPr>
      <w:r>
        <w:t xml:space="preserve">The paper is explicit about its status. The seven-level connection is, at this stage, a theoretical claim with structural support and a formal sketch. The category-theoretic formalization in Section 4 is a first attempt that requires external validation by someone with formal expertise in category theory. The spontaneous symmetry breaking connection in Section 6 requires engagement with a physicist — specifically, with someone whose work connects physical symmetry structure to information theory or formal systems. The Wolfram/Ruliad connection in Section 7 requires engagement with the Wolfram Physics Project’s framework. What this paper provides is the argument, the formal sketch, and the structure of what a complete derivation would require.</w:t>
      </w:r>
    </w:p>
    <w:bookmarkEnd w:id="21"/>
    <w:bookmarkStart w:id="22" w:name="the-distinction-operation"/>
    <w:p>
      <w:pPr>
        <w:pStyle w:val="Heading2"/>
      </w:pPr>
      <w:r>
        <w:t xml:space="preserve">2. The Distinction Operation</w:t>
      </w:r>
    </w:p>
    <w:p>
      <w:pPr>
        <w:pStyle w:val="FirstParagraph"/>
      </w:pPr>
      <w:r>
        <w:t xml:space="preserve">Spencer-Brown’s</w:t>
      </w:r>
      <w:r>
        <w:t xml:space="preserve"> </w:t>
      </w:r>
      <w:r>
        <w:rPr>
          <w:iCs/>
          <w:i/>
        </w:rPr>
        <w:t xml:space="preserve">Laws of Form</w:t>
      </w:r>
      <w:r>
        <w:t xml:space="preserve"> </w:t>
      </w:r>
      <w:r>
        <w:t xml:space="preserve">(1969) begins with a single instruction: draw a distinction. From this act alone, Spencer-Brown derives the calculus of indications — a formal system that he shows is equivalent to Boolean algebra and connects, in his extended argument, to the foundations of arithmetic and logic.</w:t>
      </w:r>
    </w:p>
    <w:p>
      <w:pPr>
        <w:pStyle w:val="BodyText"/>
      </w:pPr>
      <w:r>
        <w:t xml:space="preserve">The distinction operation has two properties that are decisive for the present argument.</w:t>
      </w:r>
    </w:p>
    <w:p>
      <w:pPr>
        <w:pStyle w:val="BodyText"/>
      </w:pPr>
      <w:r>
        <w:t xml:space="preserve">First: asymmetry is the primitive output. When a distinction is drawn, a marked side and an unmarked side are produced. These are not equivalent. No operation within the calculus of indications can make the marked side identical to the unmarked side. The asymmetry is not a property added to the distinction — it is the distinction. The act of marking introduces an inside and an outside, and inside is not outside. This asymmetry is irresolvable from within the system the distinction generates.</w:t>
      </w:r>
    </w:p>
    <w:p>
      <w:pPr>
        <w:pStyle w:val="BodyText"/>
      </w:pPr>
      <w:r>
        <w:t xml:space="preserve">Second: self-reference generates a level hierarchy. If the distinction operation is applied to the space it has itself created — if the distinction is drawn again within the domain the first distinction produced — a new level is generated. The marked side of the second distinction is not in the same level as the marked side of the first. Iteration of the distinction operation produces a strictly ascending chain of levels, each a new domain of description not reducible to the previous. Spencer-Brown’s notation for this is the re-entry of the form into itself: the distinction that crosses its own boundary generates self-reference.</w:t>
      </w:r>
    </w:p>
    <w:p>
      <w:pPr>
        <w:pStyle w:val="BodyText"/>
      </w:pPr>
      <w:r>
        <w:t xml:space="preserve">The level hierarchy and the irresolvable asymmetry together produce the incompleteness condition: any system powerful enough to apply the distinction operation to its own output will contain statements about itself that it cannot resolve from within its own rules. This is Gödel’s incompleteness theorem stated in its most primitive form. It is also the kernel/comma structure stated at the most abstract level. The distinction operation is the kernel. Asymmetry is the comma. Every subsequent formal and physical and cultural structure is downstream of that original mark.</w:t>
      </w:r>
    </w:p>
    <w:bookmarkEnd w:id="22"/>
    <w:bookmarkStart w:id="23" w:name="the-claim"/>
    <w:p>
      <w:pPr>
        <w:pStyle w:val="Heading2"/>
      </w:pPr>
      <w:r>
        <w:t xml:space="preserve">3. The Claim</w:t>
      </w:r>
    </w:p>
    <w:p>
      <w:pPr>
        <w:pStyle w:val="FirstParagraph"/>
      </w:pPr>
      <w:r>
        <w:t xml:space="preserve">The claim of this paper is that the six domain kernels are the distinction operation instantiated in six material substrates — pitched sound, moving images, built structures, syntactic sequences, computational branching, and quantum measurement — and that the comma at each kernel’s boundary is the irresolvable asymmetry the distinction operation introduces, manifesting at the scale of human creative practice.</w:t>
      </w:r>
    </w:p>
    <w:p>
      <w:pPr>
        <w:pStyle w:val="BodyText"/>
      </w:pPr>
      <w:r>
        <w:t xml:space="preserve">This claim has seven components, each requiring its own argument:</w:t>
      </w:r>
    </w:p>
    <w:p>
      <w:pPr>
        <w:numPr>
          <w:ilvl w:val="0"/>
          <w:numId w:val="1001"/>
        </w:numPr>
        <w:pStyle w:val="Compact"/>
      </w:pPr>
      <w:r>
        <w:t xml:space="preserve">The distinction operation, formally characterized, generates an irresolvable asymmetry at every level it instantiates. (Section 4)</w:t>
      </w:r>
    </w:p>
    <w:p>
      <w:pPr>
        <w:numPr>
          <w:ilvl w:val="0"/>
          <w:numId w:val="1001"/>
        </w:numPr>
        <w:pStyle w:val="Compact"/>
      </w:pPr>
      <w:r>
        <w:t xml:space="preserve">Cantor’s diagonal argument and power set theorem provide the most elementary formal demonstration: for any set S, the power set P(S) is strictly larger than S, and no enumeration of S can capture P(S). The space of all possible distinctions always exceeds the distinctions drawn. This is the set-theoretic instantiation — the root from which the subsequent formal results are downstream. Alongside the cardinality result, Level 1 contains the arithmetical ladder ℕ → ℤ → ℚ → ℝ → ℂ → ℍ → 𝕆 — the concrete forced-extension structure, where each rung’s comma (an equation with no solution in the current system) forces construction of a new system that absorbs the comma as a permanent structural feature; the ladder terminates at the octonions per Hurwitz 1898. The ladder and the cardinality result are complementary Level-1 articulations of the same underlying distinction-operation asymmetry. (Section 5)</w:t>
      </w:r>
    </w:p>
    <w:p>
      <w:pPr>
        <w:numPr>
          <w:ilvl w:val="0"/>
          <w:numId w:val="1001"/>
        </w:numPr>
        <w:pStyle w:val="Compact"/>
      </w:pPr>
      <w:r>
        <w:t xml:space="preserve">Spontaneous symmetry breaking in physics is the physical instantiation of the distinction operation — the same structure appearing at the cosmological and quantum scales — with Noether’s theorem establishing the formal relationship between symmetry and what is conserved or lost when it breaks. (Section 6)</w:t>
      </w:r>
    </w:p>
    <w:p>
      <w:pPr>
        <w:numPr>
          <w:ilvl w:val="0"/>
          <w:numId w:val="1001"/>
        </w:numPr>
        <w:pStyle w:val="Compact"/>
      </w:pPr>
      <w:r>
        <w:t xml:space="preserve">Wolfram’s computational irreducibility, the Ruliad, and Turing’s halting problem are the computational instantiation — the same structure appearing at the algorithmic scale. Rice’s theorem generalizes the halting problem to all non-trivial program properties. (Section 7)</w:t>
      </w:r>
    </w:p>
    <w:p>
      <w:pPr>
        <w:numPr>
          <w:ilvl w:val="0"/>
          <w:numId w:val="1001"/>
        </w:numPr>
        <w:pStyle w:val="Compact"/>
      </w:pPr>
      <w:r>
        <w:t xml:space="preserve">Gödel’s incompleteness theorems are the formal-logical instantiation — the same structure appearing at the level of arithmetic systems. Cubitt et al.’s (2015) spectral gap undecidability result extends this to quantum systems formally. (Section 7)</w:t>
      </w:r>
    </w:p>
    <w:p>
      <w:pPr>
        <w:numPr>
          <w:ilvl w:val="0"/>
          <w:numId w:val="1001"/>
        </w:numPr>
        <w:pStyle w:val="Compact"/>
      </w:pPr>
      <w:r>
        <w:t xml:space="preserve">The six domain kernels are the sixth instantiation — the same structure appearing at the level of human creative practice, in six different material substrates. (Section 8)</w:t>
      </w:r>
    </w:p>
    <w:p>
      <w:pPr>
        <w:numPr>
          <w:ilvl w:val="0"/>
          <w:numId w:val="1001"/>
        </w:numPr>
        <w:pStyle w:val="Compact"/>
      </w:pPr>
      <w:r>
        <w:t xml:space="preserve">The epistemic dependency of knowledge-producing systems is the seventh instantiation — the semantic manifold any knowledge-producing system navigates is provably smaller than the space of all possible analytical frames for its domain (Cantor), and the correction mechanism is the only available means of reaching into the space the system’s formation did not cover. (Section 9)</w:t>
      </w:r>
    </w:p>
    <w:p>
      <w:pPr>
        <w:pStyle w:val="FirstParagraph"/>
      </w:pPr>
      <w:r>
        <w:t xml:space="preserve">The five structural positions derived in the first paper — Infrastructure, Distribution, Exploitation, Commitment, Refusal — are strategies for navigating the irresolvable asymmetry at level 6. Their universality follows from the universality of the asymmetry they navigate: the same asymmetry, at the same level of the distinction operation’s instantiation hierarchy, in different material substrates.</w:t>
      </w:r>
    </w:p>
    <w:p>
      <w:pPr>
        <w:pStyle w:val="BodyText"/>
      </w:pPr>
      <w:r>
        <w:t xml:space="preserve">The following table summarizes the seven instantiation levels in the paper’s ordering, with Level 0 noted as developed in Paper 4.</w:t>
      </w:r>
    </w:p>
    <w:p>
      <w:pPr>
        <w:pStyle w:val="BodyText"/>
      </w:pPr>
      <w:r>
        <w:t xml:space="preserve">A disambiguation is required before the table is read. The levels are ordered by substrate specificity and historical articulation, not by deductive priority. The distinction operation is ontologically primitive at every level — it is what produces the asymmetry whose consequences each level specifies — but its explicit formal articulation (Spencer-Brown’s</w:t>
      </w:r>
      <w:r>
        <w:t xml:space="preserve"> </w:t>
      </w:r>
      <w:r>
        <w:rPr>
          <w:iCs/>
          <w:i/>
        </w:rPr>
        <w:t xml:space="preserve">Laws of Form</w:t>
      </w:r>
      <w:r>
        <w:t xml:space="preserve">) happens at Level 2, after its set-theoretic consequence (Cantor’s power set theorem) was already established at Level 1. The reader should therefore distinguish two questions:</w:t>
      </w:r>
      <w:r>
        <w:t xml:space="preserve"> </w:t>
      </w:r>
      <w:r>
        <w:rPr>
          <w:iCs/>
          <w:i/>
        </w:rPr>
        <w:t xml:space="preserve">what is ontologically primary?</w:t>
      </w:r>
      <w:r>
        <w:t xml:space="preserve"> </w:t>
      </w:r>
      <w:r>
        <w:t xml:space="preserve">(distinction-drawing as such) and</w:t>
      </w:r>
      <w:r>
        <w:t xml:space="preserve"> </w:t>
      </w:r>
      <w:r>
        <w:rPr>
          <w:iCs/>
          <w:i/>
        </w:rPr>
        <w:t xml:space="preserve">what is the formal root of the lineage of results traced through the levels?</w:t>
      </w:r>
      <w:r>
        <w:t xml:space="preserve"> </w:t>
      </w:r>
      <w:r>
        <w:t xml:space="preserve">(Cantor’s diagonal argument, as the most elementary formal instantiation). The two questions have different answers and the paper treats them separately. Cantor is the formal root because set-theoretic cardinality is the most elementary formal substrate in which the asymmetry can be stated; distinction-drawing is ontologically primary because the asymmetry at every substrate is what it is, structurally, by virtue of distinction’s operation on unmarked ground. The levels below are not a deductive chain from Level 1 to Level 7; they are a graded series of substrate-specific instantiations of the same ontological operation.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Domain</w:t>
            </w:r>
          </w:p>
        </w:tc>
        <w:tc>
          <w:tcPr/>
          <w:p>
            <w:pPr>
              <w:pStyle w:val="Compact"/>
              <w:jc w:val="left"/>
            </w:pPr>
            <w:r>
              <w:t xml:space="preserve">Generative operation</w:t>
            </w:r>
          </w:p>
        </w:tc>
        <w:tc>
          <w:tcPr/>
          <w:p>
            <w:pPr>
              <w:pStyle w:val="Compact"/>
              <w:jc w:val="left"/>
            </w:pPr>
            <w:r>
              <w:t xml:space="preserve">Irresolvable residue</w:t>
            </w:r>
          </w:p>
        </w:tc>
      </w:tr>
      <w:tr>
        <w:tc>
          <w:tcPr/>
          <w:p>
            <w:pPr>
              <w:pStyle w:val="Compact"/>
              <w:jc w:val="left"/>
            </w:pPr>
            <w:r>
              <w:rPr>
                <w:bCs/>
                <w:b/>
              </w:rPr>
              <w:t xml:space="preserve">0</w:t>
            </w:r>
          </w:p>
        </w:tc>
        <w:tc>
          <w:tcPr/>
          <w:p>
            <w:pPr>
              <w:pStyle w:val="Compact"/>
              <w:jc w:val="left"/>
            </w:pPr>
            <w:r>
              <w:t xml:space="preserve">Universe / Unmarked state</w:t>
            </w:r>
          </w:p>
        </w:tc>
        <w:tc>
          <w:tcPr/>
          <w:p>
            <w:pPr>
              <w:pStyle w:val="Compact"/>
              <w:jc w:val="left"/>
            </w:pPr>
            <w:r>
              <w:t xml:space="preserve">Continuous asymmetric process prior to any distinction</w:t>
            </w:r>
          </w:p>
        </w:tc>
        <w:tc>
          <w:tcPr/>
          <w:p>
            <w:pPr>
              <w:pStyle w:val="Compact"/>
              <w:jc w:val="left"/>
            </w:pPr>
            <w:r>
              <w:t xml:space="preserve">The first decoherence event (</w:t>
            </w:r>
            <w:r>
              <w:rPr>
                <w:iCs/>
                <w:i/>
              </w:rPr>
              <w:t xml:space="preserve">developed in Brink 2026d</w:t>
            </w:r>
            <w:r>
              <w:t xml:space="preserve">)</w:t>
            </w:r>
          </w:p>
        </w:tc>
      </w:tr>
      <w:tr>
        <w:tc>
          <w:tcPr/>
          <w:p>
            <w:pPr>
              <w:pStyle w:val="Compact"/>
              <w:jc w:val="left"/>
            </w:pPr>
            <w:r>
              <w:rPr>
                <w:bCs/>
                <w:b/>
              </w:rPr>
              <w:t xml:space="preserve">1</w:t>
            </w:r>
          </w:p>
        </w:tc>
        <w:tc>
          <w:tcPr/>
          <w:p>
            <w:pPr>
              <w:pStyle w:val="Compact"/>
              <w:jc w:val="left"/>
            </w:pPr>
            <w:r>
              <w:t xml:space="preserve">Set Theory / Arithmetic</w:t>
            </w:r>
          </w:p>
        </w:tc>
        <w:tc>
          <w:tcPr/>
          <w:p>
            <w:pPr>
              <w:pStyle w:val="Compact"/>
              <w:jc w:val="left"/>
            </w:pPr>
            <w:r>
              <w:t xml:space="preserve">Enumeration (S); successive arithmetic operations on ℕ</w:t>
            </w:r>
          </w:p>
        </w:tc>
        <w:tc>
          <w:tcPr/>
          <w:p>
            <w:pPr>
              <w:pStyle w:val="Compact"/>
              <w:jc w:val="left"/>
            </w:pPr>
            <w:r>
              <w:t xml:space="preserve">Power set P(S) strictly exceeds S (the diagonal escape); forced extension ladder ℕ → ℤ → ℚ → ℝ → ℂ → ℍ → 𝕆 (terminates at 𝕆 per Hurwitz 1898)</w:t>
            </w:r>
          </w:p>
        </w:tc>
      </w:tr>
      <w:tr>
        <w:tc>
          <w:tcPr/>
          <w:p>
            <w:pPr>
              <w:pStyle w:val="Compact"/>
              <w:jc w:val="left"/>
            </w:pPr>
            <w:r>
              <w:rPr>
                <w:bCs/>
                <w:b/>
              </w:rPr>
              <w:t xml:space="preserve">2</w:t>
            </w:r>
          </w:p>
        </w:tc>
        <w:tc>
          <w:tcPr/>
          <w:p>
            <w:pPr>
              <w:pStyle w:val="Compact"/>
              <w:jc w:val="left"/>
            </w:pPr>
            <w:r>
              <w:t xml:space="preserve">Formal Logic</w:t>
            </w:r>
          </w:p>
        </w:tc>
        <w:tc>
          <w:tcPr/>
          <w:p>
            <w:pPr>
              <w:pStyle w:val="Compact"/>
              <w:jc w:val="left"/>
            </w:pPr>
            <w:r>
              <w:t xml:space="preserve">Spencer-Brown’s mark of distinction</w:t>
            </w:r>
          </w:p>
        </w:tc>
        <w:tc>
          <w:tcPr/>
          <w:p>
            <w:pPr>
              <w:pStyle w:val="Compact"/>
              <w:jc w:val="left"/>
            </w:pPr>
            <w:r>
              <w:t xml:space="preserve">Re-entry: the distinction applied to the space it has itself created</w:t>
            </w:r>
          </w:p>
        </w:tc>
      </w:tr>
      <w:tr>
        <w:tc>
          <w:tcPr/>
          <w:p>
            <w:pPr>
              <w:pStyle w:val="Compact"/>
              <w:jc w:val="left"/>
            </w:pPr>
            <w:r>
              <w:rPr>
                <w:bCs/>
                <w:b/>
              </w:rPr>
              <w:t xml:space="preserve">3</w:t>
            </w:r>
          </w:p>
        </w:tc>
        <w:tc>
          <w:tcPr/>
          <w:p>
            <w:pPr>
              <w:pStyle w:val="Compact"/>
              <w:jc w:val="left"/>
            </w:pPr>
            <w:r>
              <w:t xml:space="preserve">Physics</w:t>
            </w:r>
          </w:p>
        </w:tc>
        <w:tc>
          <w:tcPr/>
          <w:p>
            <w:pPr>
              <w:pStyle w:val="Compact"/>
              <w:jc w:val="left"/>
            </w:pPr>
            <w:r>
              <w:t xml:space="preserve">Decoherence boundary</w:t>
            </w:r>
          </w:p>
        </w:tc>
        <w:tc>
          <w:tcPr/>
          <w:p>
            <w:pPr>
              <w:pStyle w:val="Compact"/>
              <w:jc w:val="left"/>
            </w:pPr>
            <w:r>
              <w:t xml:space="preserve">Spontaneous symmetry breaking; mass; arrow of time</w:t>
            </w:r>
          </w:p>
        </w:tc>
      </w:tr>
      <w:tr>
        <w:tc>
          <w:tcPr/>
          <w:p>
            <w:pPr>
              <w:pStyle w:val="Compact"/>
              <w:jc w:val="left"/>
            </w:pPr>
            <w:r>
              <w:rPr>
                <w:bCs/>
                <w:b/>
              </w:rPr>
              <w:t xml:space="preserve">4</w:t>
            </w:r>
          </w:p>
        </w:tc>
        <w:tc>
          <w:tcPr/>
          <w:p>
            <w:pPr>
              <w:pStyle w:val="Compact"/>
              <w:jc w:val="left"/>
            </w:pPr>
            <w:r>
              <w:t xml:space="preserve">Computation</w:t>
            </w:r>
          </w:p>
        </w:tc>
        <w:tc>
          <w:tcPr/>
          <w:p>
            <w:pPr>
              <w:pStyle w:val="Compact"/>
              <w:jc w:val="left"/>
            </w:pPr>
            <w:r>
              <w:t xml:space="preserve">Conditional branch</w:t>
            </w:r>
          </w:p>
        </w:tc>
        <w:tc>
          <w:tcPr/>
          <w:p>
            <w:pPr>
              <w:pStyle w:val="Compact"/>
              <w:jc w:val="left"/>
            </w:pPr>
            <w:r>
              <w:t xml:space="preserve">Halting problem; Rice’s theorem; computational irreducibility</w:t>
            </w:r>
          </w:p>
        </w:tc>
      </w:tr>
      <w:tr>
        <w:tc>
          <w:tcPr/>
          <w:p>
            <w:pPr>
              <w:pStyle w:val="Compact"/>
              <w:jc w:val="left"/>
            </w:pPr>
            <w:r>
              <w:rPr>
                <w:bCs/>
                <w:b/>
              </w:rPr>
              <w:t xml:space="preserve">5</w:t>
            </w:r>
          </w:p>
        </w:tc>
        <w:tc>
          <w:tcPr/>
          <w:p>
            <w:pPr>
              <w:pStyle w:val="Compact"/>
              <w:jc w:val="left"/>
            </w:pPr>
            <w:r>
              <w:t xml:space="preserve">Formal Systems</w:t>
            </w:r>
          </w:p>
        </w:tc>
        <w:tc>
          <w:tcPr/>
          <w:p>
            <w:pPr>
              <w:pStyle w:val="Compact"/>
              <w:jc w:val="left"/>
            </w:pPr>
            <w:r>
              <w:t xml:space="preserve">Axiomatization</w:t>
            </w:r>
          </w:p>
        </w:tc>
        <w:tc>
          <w:tcPr/>
          <w:p>
            <w:pPr>
              <w:pStyle w:val="Compact"/>
              <w:jc w:val="left"/>
            </w:pPr>
            <w:r>
              <w:t xml:space="preserve">Gödel incompleteness; spectral gap undecidability</w:t>
            </w:r>
          </w:p>
        </w:tc>
      </w:tr>
      <w:tr>
        <w:tc>
          <w:tcPr/>
          <w:p>
            <w:pPr>
              <w:pStyle w:val="Compact"/>
              <w:jc w:val="left"/>
            </w:pPr>
            <w:r>
              <w:rPr>
                <w:bCs/>
                <w:b/>
              </w:rPr>
              <w:t xml:space="preserve">6</w:t>
            </w:r>
          </w:p>
        </w:tc>
        <w:tc>
          <w:tcPr/>
          <w:p>
            <w:pPr>
              <w:pStyle w:val="Compact"/>
              <w:jc w:val="left"/>
            </w:pPr>
            <w:r>
              <w:t xml:space="preserve">Domain Practice</w:t>
            </w:r>
          </w:p>
        </w:tc>
        <w:tc>
          <w:tcPr/>
          <w:p>
            <w:pPr>
              <w:pStyle w:val="Compact"/>
              <w:jc w:val="left"/>
            </w:pPr>
            <w:r>
              <w:t xml:space="preserve">Domain kernels (The Fifth, Gravity, Syntax, The Cut, Branch/Halt, Wave Function)</w:t>
            </w:r>
          </w:p>
        </w:tc>
        <w:tc>
          <w:tcPr/>
          <w:p>
            <w:pPr>
              <w:pStyle w:val="Compact"/>
              <w:jc w:val="left"/>
            </w:pPr>
            <w:r>
              <w:t xml:space="preserve">Practice commas (temperament, span/depth, underdetermination, incommensurability, halting, measurement problem)</w:t>
            </w:r>
          </w:p>
        </w:tc>
      </w:tr>
      <w:tr>
        <w:tc>
          <w:tcPr/>
          <w:p>
            <w:pPr>
              <w:pStyle w:val="Compact"/>
              <w:jc w:val="left"/>
            </w:pPr>
            <w:r>
              <w:rPr>
                <w:bCs/>
                <w:b/>
              </w:rPr>
              <w:t xml:space="preserve">7</w:t>
            </w:r>
          </w:p>
        </w:tc>
        <w:tc>
          <w:tcPr/>
          <w:p>
            <w:pPr>
              <w:pStyle w:val="Compact"/>
              <w:jc w:val="left"/>
            </w:pPr>
            <w:r>
              <w:t xml:space="preserve">Epistemics</w:t>
            </w:r>
          </w:p>
        </w:tc>
        <w:tc>
          <w:tcPr/>
          <w:p>
            <w:pPr>
              <w:pStyle w:val="Compact"/>
              <w:jc w:val="left"/>
            </w:pPr>
            <w:r>
              <w:t xml:space="preserve">Analytical framing (formation)</w:t>
            </w:r>
          </w:p>
        </w:tc>
        <w:tc>
          <w:tcPr/>
          <w:p>
            <w:pPr>
              <w:pStyle w:val="Compact"/>
              <w:jc w:val="left"/>
            </w:pPr>
            <w:r>
              <w:t xml:space="preserve">Semantic manifold gap: P(formation) strictly exceeds formation</w:t>
            </w:r>
          </w:p>
        </w:tc>
      </w:tr>
    </w:tbl>
    <w:bookmarkEnd w:id="23"/>
    <w:bookmarkStart w:id="24" w:name="X7cd99d570e77e9891c6ba71cdad300788f58c8a"/>
    <w:p>
      <w:pPr>
        <w:pStyle w:val="Heading2"/>
      </w:pPr>
      <w:r>
        <w:t xml:space="preserve">4. Formal Characterization of the Distinction Operation</w:t>
      </w:r>
    </w:p>
    <w:p>
      <w:pPr>
        <w:pStyle w:val="FirstParagraph"/>
      </w:pPr>
      <w:r>
        <w:t xml:space="preserve">[REQUIRES FORMAL VALIDATION — this formalization is a first attempt, not a reviewed result. The category-theoretic framing requires engagement with someone whose primary expertise is category theory or formal logic. A specific question about self-reference requires direct engagement: the meta-morphism that encodes D within C is self-referential by design — it is the morphism representing the distinction operation within the domain it generates. Category theorists will ask whether this triggers a Russell-style paradox. The answer this paper proposes is that the self-reference is not a defect to be avoided but the formal engine that generates the comma. Gödel’s incompleteness proof runs on exactly this structure: the system powerful enough to represent itself is the system that generates the unprovable statement. The meta-morphism’s self-reference is the distinction operation applied to itself — the re-entry of the form into the form — and the incompleteness condition follows from that self-reference as a consequence rather than an additional imposition. The specific question for the category theorist: is the meta-morphism’s self-referential structure formally equivalent to Gödel’s diagonalization, and if so does D4 become a theorem rather than a condition? If the Russell structure is the engine, the paradox is not a contradiction to be resolved. It is the comma made formal.]</w:t>
      </w:r>
    </w:p>
    <w:p>
      <w:pPr>
        <w:pStyle w:val="BodyText"/>
      </w:pPr>
      <w:r>
        <w:t xml:space="preserve">The distinction operation can be characterized formally without invoking Spencer-Brown’s notation directly. The following is a first attempt at a category-theoretic formulation.</w:t>
      </w:r>
    </w:p>
    <w:p>
      <w:pPr>
        <w:pStyle w:val="BodyText"/>
      </w:pPr>
      <w:r>
        <w:t xml:space="preserve">Let C be a category representing the state space of a domain — objects are states of the domain, morphisms are transitions between states.</w:t>
      </w:r>
    </w:p>
    <w:p>
      <w:pPr>
        <w:pStyle w:val="BodyText"/>
      </w:pPr>
      <w:r>
        <w:t xml:space="preserve">A distinction operation is an endofunctor D: C → C satisfying four conditions:</w:t>
      </w:r>
    </w:p>
    <w:p>
      <w:pPr>
        <w:pStyle w:val="BodyText"/>
      </w:pPr>
      <w:r>
        <w:rPr>
          <w:bCs/>
          <w:b/>
        </w:rPr>
        <w:t xml:space="preserve">D1. Non-triviality.</w:t>
      </w:r>
      <w:r>
        <w:t xml:space="preserve"> </w:t>
      </w:r>
      <w:r>
        <w:t xml:space="preserve">D is not the identity functor. Applying D produces a genuinely new object — the marked side is distinct from the unmarked side, and D(A) ≠ A for at least one object A.</w:t>
      </w:r>
    </w:p>
    <w:p>
      <w:pPr>
        <w:pStyle w:val="BodyText"/>
      </w:pPr>
      <w:r>
        <w:rPr>
          <w:bCs/>
          <w:b/>
        </w:rPr>
        <w:t xml:space="preserve">D2. Non-idempotence.</w:t>
      </w:r>
      <w:r>
        <w:t xml:space="preserve"> </w:t>
      </w:r>
      <w:r>
        <w:t xml:space="preserve">D(D(A)) ≠ D(A) for at least one object A. Iterated application of D produces strictly new levels of description, not a fixed point after one application. This is the formal statement of the level hierarchy: each application of the distinction operation generates a new domain not reducible to the previous.</w:t>
      </w:r>
    </w:p>
    <w:p>
      <w:pPr>
        <w:pStyle w:val="BodyText"/>
      </w:pPr>
      <w:r>
        <w:rPr>
          <w:bCs/>
          <w:b/>
        </w:rPr>
        <w:t xml:space="preserve">D3. Self-reference via fixed-point structure.</w:t>
      </w:r>
      <w:r>
        <w:t xml:space="preserve"> </w:t>
      </w:r>
      <w:r>
        <w:t xml:space="preserve">The functor D has a non-trivial fixed-point subcategory Fix(D) ⊂ C — a class of objects X where D(X) ≅ X. These fixed points are the elements that survive the distinction operation: the inside that remains the inside under repeated application. In domain terms, the fixed-point subcategory is the kernel — the minimal operation that the distinction instantiates at this level.</w:t>
      </w:r>
    </w:p>
    <w:p>
      <w:pPr>
        <w:pStyle w:val="BodyText"/>
      </w:pPr>
      <w:r>
        <w:rPr>
          <w:bCs/>
          <w:b/>
        </w:rPr>
        <w:t xml:space="preserve">D4. Comma generation.</w:t>
      </w:r>
      <w:r>
        <w:t xml:space="preserve"> </w:t>
      </w:r>
      <w:r>
        <w:t xml:space="preserve">The morphisms in C that connect fixed-point objects to non-fixed-point objects — the arrows f: X → D(X) where X ∉ Fix(D) — constitute the comma. The comma is not an object in C. It is the class of transitions that cannot be completed within C because they lead from the domain of fixed points to the domain generated by a further application of D. It is structurally unreachable from within the system. This is a proper subcategory of Lawvere’s comma category (Id ↓ D), which contains</w:t>
      </w:r>
      <w:r>
        <w:t xml:space="preserve"> </w:t>
      </w:r>
      <w:r>
        <w:rPr>
          <w:iCs/>
          <w:i/>
        </w:rPr>
        <w:t xml:space="preserve">all</w:t>
      </w:r>
      <w:r>
        <w:t xml:space="preserve"> </w:t>
      </w:r>
      <w:r>
        <w:t xml:space="preserve">morphisms f: X → D(X) including those where X ∈ Fix(D). The exclusion clause</w:t>
      </w:r>
      <w:r>
        <w:t xml:space="preserve"> </w:t>
      </w:r>
      <w:r>
        <w:t xml:space="preserve">“</w:t>
      </w:r>
      <w:r>
        <w:t xml:space="preserve">X ∉ Fix(D)</w:t>
      </w:r>
      <w:r>
        <w:t xml:space="preserve">”</w:t>
      </w:r>
      <w:r>
        <w:t xml:space="preserve"> </w:t>
      </w:r>
      <w:r>
        <w:t xml:space="preserve">is a restriction that requires justification; whether D4 is most naturally formalized as this subcategory or as the full (Id ↓ D) is one of the specific questions for a category theorist flagged in Section 10.</w:t>
      </w:r>
    </w:p>
    <w:p>
      <w:pPr>
        <w:pStyle w:val="BodyText"/>
      </w:pPr>
      <w:r>
        <w:t xml:space="preserve">These four conditions generate the incompleteness condition directly. A category C satisfying D1–D4 and containing a morphism that represents D itself — a meta-morphism encoding the distinction operation within the domain it generates — will contain objects whose image under D cannot be determined without applying D to a level of the hierarchy not accessible within C.</w:t>
      </w:r>
    </w:p>
    <w:p>
      <w:pPr>
        <w:pStyle w:val="BodyText"/>
      </w:pPr>
      <w:r>
        <w:t xml:space="preserve">A distinction must be drawn here between two consequences of self-referential structure that the framework otherwise risks conflating. Russell’s paradox produces inconsistency: a contradiction that forces revision of the formal system (ZFC restricted comprehension was the response; naive set theory was abandoned). Gödel’s incompleteness produces productive incompleteness: a true but unprovable sentence that is absorbed rather than eliminated (Peano arithmetic continues to operate with its Gödel sentences unresolved). The framework’s comma is the Gödel-type consequence, not the Russell-type. A self-referential structure that produced Russell-type inconsistency would be a kernel whose comma closes the domain by making the formal system untenable; a self-referential structure that produces Gödel-type incompleteness is a kernel whose comma keeps the domain generative by remaining operative without forcing revision. The distinction operation, on this paper’s account, produces the second. The category-theoretic formalization above is constructed so that the self-referential meta-morphism generates productive incompleteness rather than inconsistency — D4’s comma is the class of transitions that cannot be completed within the category, not a contradiction within it. Whether the current formalization achieves this cleanly or slides toward Russell-type inconsistency under closer analysis is one of the specific questions for a category theorist flagged in Section 10.</w:t>
      </w:r>
    </w:p>
    <w:p>
      <w:pPr>
        <w:pStyle w:val="BodyText"/>
      </w:pPr>
      <w:r>
        <w:t xml:space="preserve">The level hierarchy follows from iterating D: the sequence C₀, D(C₀), D(D(C₀)), … is a strictly ascending chain of categories, each a new level of description. The comma at each level is the class of morphisms leading to the next level, structurally unreachable from within the current level.</w:t>
      </w:r>
    </w:p>
    <w:bookmarkEnd w:id="24"/>
    <w:bookmarkStart w:id="27" w:name="X9d56644cce7a9ea7a6c4b4f5e932393a5f8a6e3"/>
    <w:p>
      <w:pPr>
        <w:pStyle w:val="Heading2"/>
      </w:pPr>
      <w:r>
        <w:t xml:space="preserve">5. Level 1 — The Set-Theoretic Root and the Arithmetical Ladder</w:t>
      </w:r>
    </w:p>
    <w:p>
      <w:pPr>
        <w:pStyle w:val="FirstParagraph"/>
      </w:pPr>
      <w:r>
        <w:t xml:space="preserve">Level 1 contains two closely related formal results that both operate as substrate-specific articulations of the distinction operation at its most elementary formal level. The first is Cantor’s diagonal argument and power set theorem — the cardinality result that gives the comma’s irresolvability its formal shape at arbitrary cardinality. The second is the arithmetical ladder ℕ → ℤ → ℚ → ℝ → ℂ → ℍ → 𝕆 — the concrete arithmetic instantiation of forced extension, where each extension is a new formal structure absorbing a specific comma in the previous structure. Both are Level 1 as substrate-specific arithmetical and set-theoretic articulations; neither is more primitive than the other. They operate alongside each other at the same level, addressing different formal dimensions of the same underlying irresolvability.</w:t>
      </w:r>
    </w:p>
    <w:bookmarkStart w:id="25" w:name="X033543bc2c1387f5669efae525ce3c024cbb7d2"/>
    <w:p>
      <w:pPr>
        <w:pStyle w:val="Heading3"/>
      </w:pPr>
      <w:r>
        <w:t xml:space="preserve">5.1 Cantor’s diagonal argument and power set theorem</w:t>
      </w:r>
    </w:p>
    <w:p>
      <w:pPr>
        <w:pStyle w:val="FirstParagraph"/>
      </w:pPr>
      <w:r>
        <w:t xml:space="preserve">Cantor’s diagonal argument (1891) is the most elementary formal demonstration of the distinction operation’s irresolvability at arbitrary cardinality — more primitive than Gödel’s incompleteness proof, which uses the same diagonalization technique, and more primitive than Turing’s halting problem, which is the computational restatement of the same structure.</w:t>
      </w:r>
    </w:p>
    <w:p>
      <w:pPr>
        <w:pStyle w:val="BodyText"/>
      </w:pPr>
      <w:r>
        <w:t xml:space="preserve">The diagonal argument proceeds as follows. Suppose an enumeration of all infinite binary sequences exists. Construct a new sequence by taking the nth element of the nth sequence and inverting it — if the nth element of the nth sequence is 0, put 1 in position n; if 1, put 0. The constructed sequence differs from every sequence on the list at at least one position. No enumeration is complete. The construction is self-referential: it refers to the list it is trying to escape, and the escape is guaranteed by the inversion.</w:t>
      </w:r>
    </w:p>
    <w:p>
      <w:pPr>
        <w:pStyle w:val="BodyText"/>
      </w:pPr>
      <w:r>
        <w:t xml:space="preserve">The structural identity with the distinction operation is precise. The enumeration draws a distinction between sequences on the list (the inside) and sequences not on the list (the outside). The diagonal construction crosses that boundary by design: the constructed sequence is guaranteed to be outside any given enumeration. The comma — the class of transitions from inside to outside — is structurally irresolvable because the outside is always larger than the inside. Cantor’s theorem formalizes this: for any set S, the power set P(S) — the set of all subsets of S — is strictly larger than S. There is no bijection between S and P(S). The space of all possible distinctions always exceeds the distinctions instantiated.</w:t>
      </w:r>
    </w:p>
    <w:p>
      <w:pPr>
        <w:pStyle w:val="BodyText"/>
      </w:pPr>
      <w:r>
        <w:t xml:space="preserve">This result is the formal root of the incompleteness lineage. Gödel’s incompleteness proof uses the same diagonalization: construct a statement that refers to all provable statements and asserts its own non-provability. Turing’s halting problem uses the same diagonalization: construct a program that refers to all programs that halt and inverts their behavior. Rice’s theorem is the full generalization: any non-trivial property of programs inherits the halting problem’s undecidability by the same diagonal structure. Cubitt et al.’s spectral gap undecidability runs a Turing machine through quantum ground states — the same diagonal argument instantiated in a physical substrate.</w:t>
      </w:r>
    </w:p>
    <w:p>
      <w:pPr>
        <w:pStyle w:val="BodyText"/>
      </w:pPr>
      <w:r>
        <w:t xml:space="preserve">The power set theorem is also the formal ground for the comma’s irresolvability in domain practice. For any kernel K generating a field F, the set of all possible structural relationships to F’s boundary — the set of all commas, all management strategies, all positions — is P(F), which is strictly larger than F. No operation within the field can enumerate or resolve the full space of relationships to its own boundary. The comma is irresolvable for the same reason that P(S) &gt; S: the boundary is always larger than the field it bounds.</w:t>
      </w:r>
    </w:p>
    <w:p>
      <w:pPr>
        <w:pStyle w:val="BodyText"/>
      </w:pPr>
      <w:r>
        <w:t xml:space="preserve">Cantor’s result is not merely an analogy to the distinction operation’s asymmetry. It is the set-theoretic instantiation of that asymmetry in its purest form: a system powerful enough to enumerate its own elements generates, by that very power, a space that exceeds what the enumeration can cover.</w:t>
      </w:r>
    </w:p>
    <w:p>
      <w:pPr>
        <w:pStyle w:val="BodyText"/>
      </w:pPr>
      <w:r>
        <w:t xml:space="preserve">A further consequence of Cantor’s own programme exhibits exactly the structure the framework predicts. Cantor’s development of transfinite cardinalities (1874, 1891, and subsequent work through 1897) invented ℵ₀, ℵ₁, and the higher alephs to organize the space of infinite cardinalities. The Continuum Hypothesis — the question of whether the cardinality of the real numbers equals ℵ₁ — arose within Cantor’s own framework as a natural question: is the first uncountable cardinal the cardinality of the continuum? Gödel (1940) proved CH is consistent with ZFC by constructing the constructible universe L in which CH holds. Cohen (1963) proved CH is independent of ZFC by constructing, through forcing, a model of ZFC in which CH fails. Together these results establish that CH is neither provable nor refutable from ZFC: it is undecidable within the formal system Cantor’s own extension of set theory generated. This is the framework’s prediction instantiated within Cantor: a system that extends itself to absorb one comma (the uncountability of ℝ relative to ℕ) generates, within that same extension, a further undecidable construct (the relationship between ℵ₁ and the cardinality of ℝ) that the extension cannot resolve from within its own axioms. The undecidability is Gödel-type productive incompleteness (cf. § 4 above, Russell-vs-Gödel distinction): neither response — Gödel’s consistency model nor Cohen’s independence model — forces revision of ZFC; both operate within ZFC and demonstrate that the axioms do not determine the question. CH is therefore a Level-1 instance of the distinction operation producing a comma within the very extension Cantor invented to resolve the prior comma. The framework predicts exactly this kind of self-similar emergence at each level of the hierarchy; the CH case is a within-Level-1 confirmation.</w:t>
      </w:r>
    </w:p>
    <w:bookmarkEnd w:id="25"/>
    <w:bookmarkStart w:id="26" w:name="the-arithmetical-ladder-ℕ-ℤ-ℚ-ℝ-ℂ-ℍ-𝕆"/>
    <w:p>
      <w:pPr>
        <w:pStyle w:val="Heading3"/>
      </w:pPr>
      <w:r>
        <w:t xml:space="preserve">5.2 The arithmetical ladder: ℕ → ℤ → ℚ → ℝ → ℂ → ℍ → 𝕆</w:t>
      </w:r>
    </w:p>
    <w:p>
      <w:pPr>
        <w:pStyle w:val="FirstParagraph"/>
      </w:pPr>
      <w:r>
        <w:t xml:space="preserve">Alongside the Cantor cardinality result, Level 1 contains a concrete arithmetical instantiation of the distinction operation in the form of the number-system ladder. The ladder presents, in explicit form, what the cardinality result establishes abstractly: at each rung, the system encounters a specific comma irresolvable from within its own rules, and the response is the construction of a new system that absorbs that comma by expanding scope.</w:t>
      </w:r>
    </w:p>
    <w:p>
      <w:pPr>
        <w:pStyle w:val="BodyText"/>
      </w:pPr>
      <w:r>
        <w:t xml:space="preserve">Each extension is forced, in the sense that the comma at each rung cannot be managed within the current system without abandoning either closure under a basic operation or the system’s defining rules. Each extension is Gödel-type productive incompleteness rather than Russell-type inconsistency (cf. § 4 above): the previous system is not revised in response to the comma, it is extended — the new system absorbs the old system’s comma as a permanent structural feature while adding new structure that dissolves the specific obstruction. The ladder operates alongside Cantor’s cardinality result at Level 1, not beneath it: the ladder is a rank-0 and rank-1 formal articulation of specific commas at the arithmetical level; Cantor is the cardinality result at arbitrary cardinality; both are Level 1 as substrate-specific articulations of the distinction operation.</w:t>
      </w:r>
    </w:p>
    <w:p>
      <w:pPr>
        <w:pStyle w:val="BodyText"/>
      </w:pPr>
      <w:r>
        <w:rPr>
          <w:bCs/>
          <w:b/>
        </w:rPr>
        <w:t xml:space="preserve">ℕ → ℤ.</w:t>
      </w:r>
      <w:r>
        <w:t xml:space="preserve"> </w:t>
      </w:r>
      <w:r>
        <w:t xml:space="preserve">The natural numbers are closed under addition and multiplication but not under subtraction. The equation x + 5 = 3 has no solution in ℕ. The comma is the absence of additive inverses: the operation of subtraction, applied within ℕ, generates constructs (negative quantities) that ℕ cannot contain. The extension is ℤ, the integers, which absorbs the comma by introducing additive inverses. Subtraction becomes a total operation. The comma is not resolved; it is absorbed into the new system’s structure. D1 is instantiated: the integer −2 is a genuinely new object not present in ℕ. D2 is instantiated at the system level: iterating the extension operation produces strictly new systems, not a fixed point. D3 is instantiated in the preservation of ℕ as a subsystem of ℤ — the naturals are the fixed points of the extension, in the sense that they survive unchanged. D4, presented as the structural analogy developed in § 7.3 rather than a formal equivalence, is instantiated as the class of transitions (subtraction operations on pairs of naturals yielding negatives) that cannot be completed within ℕ but become completable within ℤ.</w:t>
      </w:r>
    </w:p>
    <w:p>
      <w:pPr>
        <w:pStyle w:val="BodyText"/>
      </w:pPr>
      <w:r>
        <w:rPr>
          <w:bCs/>
          <w:b/>
        </w:rPr>
        <w:t xml:space="preserve">ℤ → ℚ.</w:t>
      </w:r>
      <w:r>
        <w:t xml:space="preserve"> </w:t>
      </w:r>
      <w:r>
        <w:t xml:space="preserve">The integers are closed under addition, subtraction, and multiplication but not under division. The equation 2x = 3 has no solution in ℤ. The comma is the absence of multiplicative inverses for non-unit integers. The extension is ℚ, the rationals, which absorbs the comma by introducing multiplicative inverses. Division becomes a total operation except at zero. D1–D4 instantiate analogously.</w:t>
      </w:r>
    </w:p>
    <w:p>
      <w:pPr>
        <w:pStyle w:val="BodyText"/>
      </w:pPr>
      <w:r>
        <w:rPr>
          <w:bCs/>
          <w:b/>
        </w:rPr>
        <w:t xml:space="preserve">ℚ → ℝ.</w:t>
      </w:r>
      <w:r>
        <w:t xml:space="preserve"> </w:t>
      </w:r>
      <w:r>
        <w:t xml:space="preserve">The rationals are closed under the four arithmetic operations but not under the operation of taking limits of Cauchy sequences, and specifically not under root extraction for non-perfect-square rationals. The equation x² = 2 has no solution in ℚ. This is the rank-1 Pythagorean case: a specific multiplicative-structure obstruction whose formal ground is the fundamental theorem of arithmetic — √2 cannot be p/q for integer p, q because unique factorization forbids the parities required, as developed in Brink 2026e § 3–4. The extension is ℝ, the real numbers, which absorbs the comma by completing ℚ under Cauchy sequences (or equivalently via Dedekind cuts). The comma is absorbed into the new system’s structure as a permanent feature: the irrationality of √2 is not eliminated by the completion — √2 remains irrational in ℝ — but the formal system now contains √2 as an element, so the equation x² = 2 has a solution in the system. The rank-1 case is the simplest and most elementary instantiation of a Diophantine comma in the ladder; Brink 2026e develops its connection to the rank-≥2 case (the Pythagorean comma) in detail.</w:t>
      </w:r>
    </w:p>
    <w:p>
      <w:pPr>
        <w:pStyle w:val="BodyText"/>
      </w:pPr>
      <w:r>
        <w:rPr>
          <w:bCs/>
          <w:b/>
        </w:rPr>
        <w:t xml:space="preserve">ℝ → ℂ.</w:t>
      </w:r>
      <w:r>
        <w:t xml:space="preserve"> </w:t>
      </w:r>
      <w:r>
        <w:t xml:space="preserve">The reals are closed under the four arithmetic operations and under Cauchy completion but not under root extraction for negative numbers. The equation x² + 1 = 0 has no solution in ℝ. The extension is ℂ, the complex numbers, which absorbs the comma by introducing the imaginary unit i = √(−1). All polynomial equations with complex coefficients now have complex roots — the fundamental theorem of algebra makes ℂ algebraically closed. D1 is instantiated strongly: ℂ contains objects (complex numbers with non-zero imaginary part) that have no analog in ℝ. D3 is instantiated in the preservation of ℝ as the subfield of complex numbers with zero imaginary part.</w:t>
      </w:r>
    </w:p>
    <w:p>
      <w:pPr>
        <w:pStyle w:val="BodyText"/>
      </w:pPr>
      <w:r>
        <w:rPr>
          <w:bCs/>
          <w:b/>
        </w:rPr>
        <w:t xml:space="preserve">ℂ → ℍ.</w:t>
      </w:r>
      <w:r>
        <w:t xml:space="preserve"> </w:t>
      </w:r>
      <w:r>
        <w:t xml:space="preserve">The complex numbers are algebraically closed and constitute a commutative field. Hamilton’s discovery (1843) that a consistent three-dimensional extension of ℂ is impossible — that one must add a fourth dimension and sacrifice commutativity of multiplication — produced the quaternions ℍ. The comma here is different in kind from the previous rungs: it is not a specific equation that lacks a solution but a structural obstruction to extending dimension while preserving algebraic properties. Hamilton’s extension absorbs the comma by sacrificing commutativity. Multiplication in ℍ is associative but not commutative: ij = k but ji = −k.</w:t>
      </w:r>
    </w:p>
    <w:p>
      <w:pPr>
        <w:pStyle w:val="BodyText"/>
      </w:pPr>
      <w:r>
        <w:rPr>
          <w:bCs/>
          <w:b/>
        </w:rPr>
        <w:t xml:space="preserve">ℍ → 𝕆.</w:t>
      </w:r>
      <w:r>
        <w:t xml:space="preserve"> </w:t>
      </w:r>
      <w:r>
        <w:t xml:space="preserve">The quaternions are non-commutative but associative. The Cayley–Dickson construction (1845, 1858) produces the octonions 𝕆 by doubling ℍ, at the cost of associativity. Multiplication in 𝕆 is neither commutative nor associative — it is merely alternative (the subalgebra generated by any two elements is associative). The Cayley–Dickson construction can be iterated past 𝕆, producing sedenions and higher systems, but Hurwitz’s theorem (1898) establishes that the ladder of normed division algebras terminates at 𝕆: no extension beyond the octonions preserves the property that the norm of a product equals the product of the norms. Frobenius’s theorem (1878) establishes the associative sub-bound: the only finite-dimensional associative division algebras over ℝ are ℝ, ℂ, and ℍ.</w:t>
      </w:r>
    </w:p>
    <w:p>
      <w:pPr>
        <w:pStyle w:val="BodyText"/>
      </w:pPr>
      <w:r>
        <w:rPr>
          <w:bCs/>
          <w:b/>
        </w:rPr>
        <w:t xml:space="preserve">The termination.</w:t>
      </w:r>
      <w:r>
        <w:t xml:space="preserve"> </w:t>
      </w:r>
      <w:r>
        <w:t xml:space="preserve">The termination at 𝕆 is itself a structural fact worth naming. The ladder of forced extensions is not unbounded. Each extension trades a structural property for closure under a previously unavailable operation; the progression is ℕ (no additive inverses) → ℤ (gains additive inverses) → ℚ (gains multiplicative inverses) → ℝ (gains Cauchy completeness) → ℂ (gains algebraic closure, loses ordering) → ℍ (gains three-and-four-dimensional structure, loses commutativity) → 𝕆 (gains seven-and-eight-dimensional structure, loses associativity). At 𝕆 the progression stops: any further Cayley–Dickson doubling would lose the norm-multiplicative property that Hurwitz’s theorem proves is the ladder’s structural anchor. The ladder is finite precisely because each trade has a cost, and the costs accumulate until no further trade preserves enough structure for the new system to count as a number system in any recognizable sense. Feynman’s observation, in</w:t>
      </w:r>
      <w:r>
        <w:t xml:space="preserve"> </w:t>
      </w:r>
      <w:r>
        <w:rPr>
          <w:iCs/>
          <w:i/>
        </w:rPr>
        <w:t xml:space="preserve">Lectures on Physics</w:t>
      </w:r>
      <w:r>
        <w:t xml:space="preserve"> </w:t>
      </w:r>
      <w:r>
        <w:t xml:space="preserve">Volume I, Chapter 22, is the cleanest statement of this from within working mathematical practice: mathematicians extended the number concept by successive forced inventions, and each extension was driven by the absence of solutions to specific equations in the previous system.</w:t>
      </w:r>
    </w:p>
    <w:p>
      <w:pPr>
        <w:pStyle w:val="BodyText"/>
      </w:pPr>
      <w:r>
        <w:rPr>
          <w:bCs/>
          <w:b/>
        </w:rPr>
        <w:t xml:space="preserve">The structural reading.</w:t>
      </w:r>
      <w:r>
        <w:t xml:space="preserve"> </w:t>
      </w:r>
      <w:r>
        <w:t xml:space="preserve">The ladder instantiates the distinction operation at Level 1 in the following sense. Each rung has a specific comma expressible in the system’s own notation (an equation with no solution, a dimension that cannot be extended commutatively, etc.). The comma is irresolvable from within the rung — no operation available in the rung produces a solution. The response is a new rung that absorbs the comma as a permanent feature of a larger structure. The new rung has its own comma, expressible in its own notation, and the process repeats until the ladder terminates. At termination, the comma is genuinely irresolvable: further extension would lose structure faster than it would gain.</w:t>
      </w:r>
    </w:p>
    <w:p>
      <w:pPr>
        <w:pStyle w:val="BodyText"/>
      </w:pPr>
      <w:r>
        <w:t xml:space="preserve">The principle of permanence, formulated by Hermann Hankel (1867), gives a historical name to the constraint the ladder honors at each step: when an operation is extended to a new domain, the formal properties that held in the previous domain should be preserved wherever they remain consistent with the new domain’s structure. The ladder instantiates this principle at each rung — the arithmetic operations of ℕ extend to ℤ, which extend to ℚ, which extend to ℝ, and so on — but the principle is itself self-limiting. At ℂ → ℍ, commutativity must be sacrificed; at ℍ → 𝕆, associativity must be sacrificed. The principle of permanence and the principle of forced extension are, in the ladder, two faces of the same distinction-operation structure: the distinction preserves what can be preserved while forcing the extension that cannot be avoided.</w:t>
      </w:r>
    </w:p>
    <w:p>
      <w:pPr>
        <w:pStyle w:val="BodyText"/>
      </w:pPr>
      <w:r>
        <w:rPr>
          <w:bCs/>
          <w:b/>
        </w:rPr>
        <w:t xml:space="preserve">Connection to the Pythagorean paper.</w:t>
      </w:r>
      <w:r>
        <w:t xml:space="preserve"> </w:t>
      </w:r>
      <w:r>
        <w:t xml:space="preserve">Brink 2026e develops the rank-1 and rank-≥2 Diophantine cases as concrete Level-1 instantiations of the distinction operation. The rank-1 case is the irrationality of √2 — the ℚ → ℝ rung above, whose formal ground is the fundamental theorem of arithmetic. The rank-≥2 case is the Pythagorean comma (the non-equality of twelve fifths and seven octaves in the space of integer-ratio intervals), whose formal ground requires Baker’s theorem (1966) on linear forms in logarithms of algebraic numbers for quantitative bounds on the non-vanishing of the comma. The two cases are unified at the qualitative level by the fundamental theorem of arithmetic and differentiated at the quantitative level by the rank of the Diophantine obstruction. The ladder above exhibits the rank-1 case as the ℚ → ℝ rung; the rank-≥2 case is visible not at any specific rung but as a feature of what the ladder operates on — the multiplicative structure of the integers, whose finite generators (the primes) generate commas at every rank ≥ 2 that Baker’s theorem quantifies but does not dissolve.</w:t>
      </w:r>
    </w:p>
    <w:p>
      <w:pPr>
        <w:pStyle w:val="BodyText"/>
      </w:pPr>
      <w:r>
        <w:rPr>
          <w:bCs/>
          <w:b/>
        </w:rPr>
        <w:t xml:space="preserve">D4 as research direction for the ladder.</w:t>
      </w:r>
      <w:r>
        <w:t xml:space="preserve"> </w:t>
      </w:r>
      <w:r>
        <w:t xml:space="preserve">The D4 subcategory note in § 4 — that the FalseWork comma is a proper subcategory of Lawvere’s (Id ↓ D) rather than identical with it — admits a concrete test case in the ladder. At each rung, the morphisms f: X → D(X) where X is a fixed-point object (an element of the previous rung treated as an element of the current rung — e.g., 3 ∈ ℕ ⊂ ℤ) behave differently from the morphisms where X is not a fixed-point object (e.g., the morphism taking 2 ∈ ℤ to the rational 2/3 ∈ ℚ). Whether the D4 exclusion clause</w:t>
      </w:r>
      <w:r>
        <w:t xml:space="preserve"> </w:t>
      </w:r>
      <w:r>
        <w:t xml:space="preserve">“</w:t>
      </w:r>
      <w:r>
        <w:t xml:space="preserve">X ∉ Fix(D)</w:t>
      </w:r>
      <w:r>
        <w:t xml:space="preserve">”</w:t>
      </w:r>
      <w:r>
        <w:t xml:space="preserve"> </w:t>
      </w:r>
      <w:r>
        <w:t xml:space="preserve">is structurally justified for the ladder — whether the FalseWork comma at each rung is most naturally formalized as the subcategory of non-fixed-point morphisms or as the full (Id ↓ D) — is a specific question for a category theorist. [REQUIRES FORMAL VALIDATION — flagged as research direction, not result. The ladder provides a concrete, well-understood test case where the D4 subcategory-vs-full-Lawvere-comma question can be evaluated against substantial existing mathematical structure. Whether this evaluation confirms the subcategory framing or argues for the full Lawvere comma framing depends on category-theoretic engagement not yet completed.]</w:t>
      </w:r>
    </w:p>
    <w:p>
      <w:pPr>
        <w:pStyle w:val="BodyText"/>
      </w:pPr>
      <w:r>
        <w:rPr>
          <w:bCs/>
          <w:b/>
        </w:rPr>
        <w:t xml:space="preserve">Position in the level hierarchy.</w:t>
      </w:r>
      <w:r>
        <w:t xml:space="preserve"> </w:t>
      </w:r>
      <w:r>
        <w:t xml:space="preserve">The ladder operates alongside Cantor’s cardinality result at Level 1, not beneath it. The ladder is a rank-0 and rank-1 formal instantiation — it addresses specific arithmetical commas at countable cardinality and finite-dimensional structure. Cantor’s cardinality result addresses the structure of irresolvability at arbitrary cardinality, including the uncountable. Both are Level 1 as substrate-specific articulations of the distinction operation. The relationship between them is not one of derivation but of complementary formalization: the ladder shows what the distinction operation does at specific arithmetical instantiations; Cantor shows what it does at the level of cardinality. Neither is upstream of the other in formal-derivation order; both are downstream of the distinction operation at Level 2 in ontological order (the first distinction generates both the arithmetical ladder through specific forced extensions and the cardinality result through the general diagonal structure).</w:t>
      </w:r>
    </w:p>
    <w:bookmarkEnd w:id="26"/>
    <w:bookmarkEnd w:id="27"/>
    <w:bookmarkStart w:id="31" w:name="Xa4022f2561ff9fd6e7e0fe9d97b15ef6394be51"/>
    <w:p>
      <w:pPr>
        <w:pStyle w:val="Heading2"/>
      </w:pPr>
      <w:r>
        <w:t xml:space="preserve">6. Level 3 — Physical Instantiation: Spontaneous Symmetry Breaking and Noether’s Theorem</w:t>
      </w:r>
    </w:p>
    <w:bookmarkStart w:id="28" w:name="spontaneous-symmetry-breaking"/>
    <w:p>
      <w:pPr>
        <w:pStyle w:val="Heading3"/>
      </w:pPr>
      <w:r>
        <w:t xml:space="preserve">6.1 Spontaneous Symmetry Breaking</w:t>
      </w:r>
    </w:p>
    <w:p>
      <w:pPr>
        <w:pStyle w:val="FirstParagraph"/>
      </w:pPr>
      <w:r>
        <w:t xml:space="preserve">The early universe was in a high-symmetry state — all forces unified, all particles massless, no structural differentiation. As it cooled, a sequence of symmetry-breaking phase transitions produced the structure of the observable physical world: the Higgs field acquired a non-zero vacuum expectation value, particles acquired mass, the four fundamental forces differentiated. Every structure in the observable universe — particles, atoms, molecules, stars, galaxies, living systems, human cultures — is a consequence of those original symmetry breakings.</w:t>
      </w:r>
    </w:p>
    <w:p>
      <w:pPr>
        <w:pStyle w:val="BodyText"/>
      </w:pPr>
      <w:r>
        <w:t xml:space="preserve">The structural parallel to the distinction operation is precise. Before symmetry breaking: no distinction exists — the system has no inside and outside with respect to the relevant parameter. At symmetry breaking: a distinction is introduced. After symmetry breaking: the asymmetry is irresolvable from within the system. No operation available to the system can restore the pre-distinction state. The asymmetry propagates through the system’s subsequent evolution.</w:t>
      </w:r>
    </w:p>
    <w:p>
      <w:pPr>
        <w:pStyle w:val="BodyText"/>
      </w:pPr>
      <w:r>
        <w:t xml:space="preserve">The physics literature describes this through the vacuum manifold — the space of degenerate ground states the system chooses among at the moment of symmetry breaking. Each ground state is equally valid from the perspective of the system’s laws, but once one is selected, the others are inaccessible. The distinction between the selected ground state and the unselected ground states is the physical comma: structurally irresolvable, not merely difficult.</w:t>
      </w:r>
    </w:p>
    <w:p>
      <w:pPr>
        <w:pStyle w:val="BodyText"/>
      </w:pPr>
      <w:r>
        <w:t xml:space="preserve">The standard account above is presented here in its conventional form. Paper 4 (Brink 2026d, v5.0) develops an alternative ontological reading under a process-primacy framework: the pre-inflationary high-symmetry state is treated as a decoherence-scale modeling artifact rather than a genuine ontological prior, and the symmetry-breaking event is reframed as how continuous asymmetric process appears when sampled at different energy scales by decoherence-boundary apparatuses. The formal machinery of this section — Noether’s theorem, the vacuum manifold, the local/global management framing — survives that reframe intact; what changes is the ontological interpretation of conservation laws and of the pre-breaking state. Readers interested in the reframe should consult Brink 2026d (v5.0) Sections 2, 5, and 6. The present section’s argument does not depend on the reframe: the formal connection between symmetry breaking and the distinction operation holds under either ontological reading, and readers who reject process primacy can accept the structural argument here while treating symmetry breaking as a genuine ontological event.</w:t>
      </w:r>
    </w:p>
    <w:bookmarkEnd w:id="28"/>
    <w:bookmarkStart w:id="29" w:name="Xae008495117e1e9634e24944ba2575a0e4acd28"/>
    <w:p>
      <w:pPr>
        <w:pStyle w:val="Heading3"/>
      </w:pPr>
      <w:r>
        <w:t xml:space="preserve">6.2 Noether’s Theorem and the Formal Connection</w:t>
      </w:r>
    </w:p>
    <w:p>
      <w:pPr>
        <w:pStyle w:val="FirstParagraph"/>
      </w:pPr>
      <w:r>
        <w:t xml:space="preserve">The formal bridge between physical symmetry and the distinction operation’s asymmetry runs through Noether’s theorem: every continuous symmetry of a physical system corresponds to a conserved quantity. Time-translation symmetry corresponds to conservation of energy. Spatial-translation symmetry corresponds to conservation of momentum. Rotational symmetry corresponds to conservation of angular momentum.</w:t>
      </w:r>
    </w:p>
    <w:p>
      <w:pPr>
        <w:pStyle w:val="BodyText"/>
      </w:pPr>
      <w:r>
        <w:t xml:space="preserve">The consequence for symmetry breaking is precise. When a continuous symmetry breaks, the corresponding conserved quantity is no longer globally conserved — it becomes locally managed. The conserved quantity that the symmetry had guaranteed is now a local property that practitioners of the domain must track and manage without being able to restore it globally. This is the physical statement of the comma: what was globally available — the conserved quantity guaranteed by full symmetry — becomes locally unavailable after the distinction is drawn.</w:t>
      </w:r>
    </w:p>
    <w:p>
      <w:pPr>
        <w:pStyle w:val="BodyText"/>
      </w:pPr>
      <w:r>
        <w:t xml:space="preserve">In the cosmological case: the original high-symmetry state had the maximum number of conserved quantities. Each symmetry-breaking event reduced that number, converting global conservation into local management strategies. The entire structure of physical law is the record of what remains globally conserved and what has been converted into locally managed asymmetry.</w:t>
      </w:r>
    </w:p>
    <w:p>
      <w:pPr>
        <w:pStyle w:val="BodyText"/>
      </w:pPr>
      <w:r>
        <w:t xml:space="preserve">This is the formal connection to the domain kernels. The fifth’s Pythagorean comma is what remains unresolvable after twelve perfect fifths fail to close seven octaves — a local management problem that no tuning system can convert back into global resolution. Gravity’s structural comma is what remains unresolvable after the asymmetry between span and depth has been introduced into built form. In both cases: a globally available symmetry is broken by a generative operation, converting global resolution into local management. The five positions are local management strategies.</w:t>
      </w:r>
    </w:p>
    <w:p>
      <w:pPr>
        <w:pStyle w:val="BodyText"/>
      </w:pPr>
      <w:r>
        <w:t xml:space="preserve">Under the process-primacy reading developed in Paper 4, this account carries an additional ontological interpretation: conservation laws are decoherence-scale invariants rather than features of the underlying process, and the phrase</w:t>
      </w:r>
      <w:r>
        <w:t xml:space="preserve"> </w:t>
      </w:r>
      <w:r>
        <w:t xml:space="preserve">“</w:t>
      </w:r>
      <w:r>
        <w:t xml:space="preserve">globally available symmetry is broken</w:t>
      </w:r>
      <w:r>
        <w:t xml:space="preserve">”</w:t>
      </w:r>
      <w:r>
        <w:t xml:space="preserve"> </w:t>
      </w:r>
      <w:r>
        <w:t xml:space="preserve">reads as</w:t>
      </w:r>
      <w:r>
        <w:t xml:space="preserve"> </w:t>
      </w:r>
      <w:r>
        <w:t xml:space="preserve">“</w:t>
      </w:r>
      <w:r>
        <w:t xml:space="preserve">a globally available compression of asymmetric process — valid at the relevant decoherence scale — is disrupted by the generative operation.</w:t>
      </w:r>
      <w:r>
        <w:t xml:space="preserve">”</w:t>
      </w:r>
      <w:r>
        <w:t xml:space="preserve"> </w:t>
      </w:r>
      <w:r>
        <w:t xml:space="preserve">The formal content of the Noether connection is the same under either reading. This section’s argument does not depend on that interpretation.</w:t>
      </w:r>
    </w:p>
    <w:bookmarkEnd w:id="29"/>
    <w:bookmarkStart w:id="30" w:name="X34cd38e12291ae0fcbbbdfa58862861ca5e3682"/>
    <w:p>
      <w:pPr>
        <w:pStyle w:val="Heading3"/>
      </w:pPr>
      <w:r>
        <w:t xml:space="preserve">6.3 The Measurement Problem and Spectral Gap Undecidability</w:t>
      </w:r>
    </w:p>
    <w:p>
      <w:pPr>
        <w:pStyle w:val="FirstParagraph"/>
      </w:pPr>
      <w:r>
        <w:t xml:space="preserve">The quantum instantiation is the Wave Function kernel. The measurement problem — the irresolvability of the asymmetry between superposition and definite state at the quantum-to-classical boundary — is the comma of the Wave Function kernel and simultaneously the physical comma at the quantum level.</w:t>
      </w:r>
    </w:p>
    <w:p>
      <w:pPr>
        <w:pStyle w:val="BodyText"/>
      </w:pPr>
      <w:r>
        <w:t xml:space="preserve">The decoherence program (Zurek 1981, 2003) explains how the quantum-to-classical boundary arises without requiring a biological observer: environmental entanglement selects pointer states, producing the appearance of definite classical outcomes from quantum superpositions. This resolves the preferred basis problem — it explains which states become classical. It does not resolve the single-outcome problem — it does not explain why one specific outcome obtains rather than a continued superposition of all outcomes. The residue of the measurement problem after decoherence is precisely the comma of the Wave Function kernel in its sharpest form: the irresolvability is not merely practical but structural, and it persists after the most sophisticated available formal treatment of the quantum-to-classical transition.</w:t>
      </w:r>
    </w:p>
    <w:p>
      <w:pPr>
        <w:pStyle w:val="BodyText"/>
      </w:pPr>
      <w:r>
        <w:t xml:space="preserve">Cubitt, Perez-Garcia, and Wolf (2015) proved that the spectral gap problem for quantum many-body systems is undecidable: there is no general algorithm that can determine whether the energy spectrum of an arbitrary quantum lattice system has a gap above its ground state. This result is the formal proof of the quantum comma’s irresolvability at the computational level. The spectral gap is not merely difficult to compute — it is undecidable in the Turing sense. The asymmetry the Wave Function kernel introduces into physics practice is formally irresolvable at the level of the domain’s own computational apparatus, not merely practically difficult.</w:t>
      </w:r>
    </w:p>
    <w:p>
      <w:pPr>
        <w:pStyle w:val="BodyText"/>
      </w:pPr>
      <w:r>
        <w:t xml:space="preserve">This result connects Levels 3 and 4 directly. The spectral gap’s undecidability is simultaneously a physics result (Level 3) and a computational result (Level 4) — its proof runs through the same diagonalization argument as Turing’s halting problem. The Wave Function kernel is the bridge case where the physical and computational instantiations of the distinction operation’s asymmetry are provably equivalent.</w:t>
      </w:r>
    </w:p>
    <w:p>
      <w:pPr>
        <w:pStyle w:val="BodyText"/>
      </w:pPr>
      <w:r>
        <w:t xml:space="preserve">A distinction must be drawn that the paper’s argument requires but does not yet make explicit. Computational undecidability is an epistemic claim: from within the system, the answer cannot be determined. Ontological asymmetry is a different claim: the gap exists regardless of whether it is decidable. The framework requires both. The comma is an ontological claim — the gap is structurally present whether or not any system within it can determine that it is there. Undecidability is the epistemic shadow of that ontological fact: it is what the gap looks like from inside the system that cannot see outside it. A physicist could grant undecidability while denying that this implies anything about the gap’s ontological status. That position is available but it requires accepting that the gap is epistemically irresolvable without being ontologically real — which makes it unavailable to any physical account that connects measurement outcomes to physical structure. The framework’s claim is that undecidability and ontological asymmetry converge here because the system that would need to resolve the gap is itself produced by the distinction that generates the gap. The resolver is inside the thing it is trying to resolve. This is not merely an epistemic limitation. It is a structural consequence of the distinction operation’s self-referential character.</w:t>
      </w:r>
    </w:p>
    <w:bookmarkEnd w:id="30"/>
    <w:bookmarkEnd w:id="31"/>
    <w:bookmarkStart w:id="35" w:name="Xb3945cc63e80385c07f30efb5b5765e8f774ca4"/>
    <w:p>
      <w:pPr>
        <w:pStyle w:val="Heading2"/>
      </w:pPr>
      <w:r>
        <w:t xml:space="preserve">7. Levels 4 and 5 — Computational and Formal Instantiation: Wolfram, the Ruliad, Turing, Rice, and Gödel</w:t>
      </w:r>
    </w:p>
    <w:p>
      <w:pPr>
        <w:pStyle w:val="FirstParagraph"/>
      </w:pPr>
      <w:r>
        <w:t xml:space="preserve">Section 5 established the set-theoretic root: Cantor’s diagonal argument and power set theorem as the most elementary formal demonstration of the distinction operation’s irresolvability. This section traces the lineage forward — from Cantor’s result through Wolfram’s computational irreducibility, Turing’s halting problem, Rice’s theorem, and Gödel’s incompleteness theorems — showing that Levels 4 (computation) and 5 (formal systems) are successive instantiations of the same diagonalization structure in different substrates.</w:t>
      </w:r>
    </w:p>
    <w:bookmarkStart w:id="32" w:name="Xfaba8ab26b75de79bf6ec393e75a7bf92d49e32"/>
    <w:p>
      <w:pPr>
        <w:pStyle w:val="Heading3"/>
      </w:pPr>
      <w:r>
        <w:t xml:space="preserve">7.1 Computational Irreducibility and the Ruliad</w:t>
      </w:r>
    </w:p>
    <w:p>
      <w:pPr>
        <w:pStyle w:val="FirstParagraph"/>
      </w:pPr>
      <w:r>
        <w:t xml:space="preserve">Wolfram’s (2002) central observation is that many computational systems — including very simple cellular automata — are computationally irreducible: there is no algorithm that can determine their state at step N without running the system through all N steps. The asymmetry in the rule is what generates the complexity. A perfectly symmetric rule generates periodic, predictable, compressible output. Computational irreducibility is a direct consequence of the asymmetry the distinction operation introduces in a computational substrate.</w:t>
      </w:r>
    </w:p>
    <w:p>
      <w:pPr>
        <w:pStyle w:val="BodyText"/>
      </w:pPr>
      <w:r>
        <w:t xml:space="preserve">Rule 30 — the simplest non-trivial asymmetric cellular automaton rule — generates apparently random, non-repeating, computationally irreducible output from a single marked cell. The single marked cell is the distinction: the asymmetry between the marked cell and the unmarked cells propagates through the computation in a way that cannot be resolved without full simulation. The comma of the computational system — the undecidable region — is the direct descendant of the original asymmetric mark.</w:t>
      </w:r>
    </w:p>
    <w:p>
      <w:pPr>
        <w:pStyle w:val="BodyText"/>
      </w:pPr>
      <w:r>
        <w:t xml:space="preserve">Wolfram’s Principle of Computational Equivalence establishes that above a low threshold of complexity, all systems are computationally equivalent and computationally irreducible. This threshold is precisely where the distinction operation has generated enough asymmetry that no shortcut exists. The comma appears universally at this threshold because asymmetry is universal at this threshold.</w:t>
      </w:r>
    </w:p>
    <w:p>
      <w:pPr>
        <w:pStyle w:val="BodyText"/>
      </w:pPr>
      <w:r>
        <w:t xml:space="preserve">The Ruliad — Wolfram’s entangled limit of all possible computational processes — is the space all possible instantiations of the distinction operation explore simultaneously. Every possible rule, every possible initial condition, every possible computation runs in the Ruliad. Observers embedded in the Ruliad cannot access the full symmetry of the space from within it. Their position in the Ruliad is determined by their computational history — the sequence of distinctions their particular thread of computation has drawn. That position is their comma: the irresolvable asymmetry between what they can observe from their position in the Ruliad and what the full space contains. The observer’s epistemic limitation is not contingent. It is the structural consequence of being a distinction-drawing system embedded in a space generated by distinction.</w:t>
      </w:r>
    </w:p>
    <w:bookmarkEnd w:id="32"/>
    <w:bookmarkStart w:id="33" w:name="the-halting-problem-and-rices-theorem"/>
    <w:p>
      <w:pPr>
        <w:pStyle w:val="Heading3"/>
      </w:pPr>
      <w:r>
        <w:t xml:space="preserve">7.2 The Halting Problem and Rice’s Theorem</w:t>
      </w:r>
    </w:p>
    <w:p>
      <w:pPr>
        <w:pStyle w:val="FirstParagraph"/>
      </w:pPr>
      <w:r>
        <w:t xml:space="preserve">Turing’s (1936) halting problem is the formal statement of the distinction operation’s irresolvability at the computational level. The question</w:t>
      </w:r>
      <w:r>
        <w:t xml:space="preserve"> </w:t>
      </w:r>
      <w:r>
        <w:t xml:space="preserve">‘</w:t>
      </w:r>
      <w:r>
        <w:t xml:space="preserve">does this program halt?</w:t>
      </w:r>
      <w:r>
        <w:t xml:space="preserve">’</w:t>
      </w:r>
      <w:r>
        <w:t xml:space="preserve"> </w:t>
      </w:r>
      <w:r>
        <w:t xml:space="preserve">asks whether the distinction between halting and non-halting states can be resolved from within the system. Turing’s proof that no general algorithm can answer this question for arbitrary programs is the proof that the comma of the Branch/Halt kernel is structurally irresolvable.</w:t>
      </w:r>
    </w:p>
    <w:p>
      <w:pPr>
        <w:pStyle w:val="BodyText"/>
      </w:pPr>
      <w:r>
        <w:t xml:space="preserve">Rice’s theorem generalizes this result: no non-trivial semantic property of programs is decidable. The halting problem is one instance of Rice’s theorem — the property</w:t>
      </w:r>
      <w:r>
        <w:t xml:space="preserve"> </w:t>
      </w:r>
      <w:r>
        <w:t xml:space="preserve">‘</w:t>
      </w:r>
      <w:r>
        <w:t xml:space="preserve">this program halts</w:t>
      </w:r>
      <w:r>
        <w:t xml:space="preserve">’</w:t>
      </w:r>
      <w:r>
        <w:t xml:space="preserve"> </w:t>
      </w:r>
      <w:r>
        <w:t xml:space="preserve">is a non-trivial semantic property, and Rice’s theorem proves that any such property is undecidable. This is a stronger result than the halting problem alone. The software kernel’s comma is not the specific undecidability of halting. It is the undecidability of all non-trivial properties of computational systems — the irresolvability of the asymmetry the conditional branch introduces, propagating through the entire space of program semantics.</w:t>
      </w:r>
    </w:p>
    <w:p>
      <w:pPr>
        <w:pStyle w:val="BodyText"/>
      </w:pPr>
      <w:r>
        <w:t xml:space="preserve">Rice’s theorem is the computational statement of Noether’s theorem’s complement: where Noether’s theorem tells us what is conserved when symmetry is preserved, Rice’s theorem tells us what is irresolvable when the asymmetry of computation propagates through a system. Every programming paradigm is a strategy for managing a specific domain of Rice-undecidable properties. Static typing, formal verification, test-driven development, functional purity — these are local management strategies for the asymmetry that no general algorithm can resolve.</w:t>
      </w:r>
    </w:p>
    <w:bookmarkEnd w:id="33"/>
    <w:bookmarkStart w:id="34" w:name="gödels-incompleteness-theorems"/>
    <w:p>
      <w:pPr>
        <w:pStyle w:val="Heading3"/>
      </w:pPr>
      <w:r>
        <w:t xml:space="preserve">7.3 Gödel’s Incompleteness Theorems</w:t>
      </w:r>
    </w:p>
    <w:p>
      <w:pPr>
        <w:pStyle w:val="FirstParagraph"/>
      </w:pPr>
      <w:r>
        <w:t xml:space="preserve">Gödel’s first incompleteness theorem states that any sufficiently powerful formal system — any system capable of encoding arithmetic — contains statements that cannot be proved or disproved within the system. The proof constructs a statement that says, in effect,</w:t>
      </w:r>
      <w:r>
        <w:t xml:space="preserve"> </w:t>
      </w:r>
      <w:r>
        <w:t xml:space="preserve">‘</w:t>
      </w:r>
      <w:r>
        <w:t xml:space="preserve">this statement is not provable within this system.</w:t>
      </w:r>
      <w:r>
        <w:t xml:space="preserve">’</w:t>
      </w:r>
      <w:r>
        <w:t xml:space="preserve"> </w:t>
      </w:r>
      <w:r>
        <w:t xml:space="preserve">The self-referential structure of the proof requires a system powerful enough to represent statements about itself.</w:t>
      </w:r>
    </w:p>
    <w:p>
      <w:pPr>
        <w:pStyle w:val="BodyText"/>
      </w:pPr>
      <w:r>
        <w:t xml:space="preserve">This self-referential structure is the re-entry of the form into itself that Spencer-Brown describes: the distinction operation applied to the space it has itself generated. The system’s power — its ability to encode arithmetic — is identical to its incompleteness. The same property that makes the system capable of representing its own structure makes it capable of generating statements about that structure that it cannot resolve.</w:t>
      </w:r>
    </w:p>
    <w:p>
      <w:pPr>
        <w:pStyle w:val="BodyText"/>
      </w:pPr>
      <w:r>
        <w:t xml:space="preserve">The connection between Gödel and the distinction operation is structural. The incompleteness condition established in the first paper (Brink 2026a, v11.3) — any system satisfying generative sufficiency, self-reference, and compositional closure contains at least one construct undecidable within its own rules — exhibits a structural analogy with conditions D1–D3 of the distinction operation’s category-theoretic formalization. Generative sufficiency parallels D1 (the operation produces new structure). Self-reference parallels D3 (the fixed-point structure that represents the operation within the domain it generates). Compositional closure parallels D2 (iterated application produces new levels not reducible to previous levels). Whether this parallel is a formal equivalence — whether G∧R∧C and D1∧D2∧D3 are the same property stated in two vocabularies — or a structural analogy between two differently-motivated predicate systems is a question that requires category-theoretic engagement. The framework’s current claim is the analogy; the equivalence is a hypothesis pending that engagement. The formal-logical incompleteness of arithmetic is what the distinction operation produces when it instantiates in a system satisfying either formulation, and the analogy is strong enough that the lineage from distinction to domain kernels via formal incompleteness is legible, but the identity claim is stronger than what has been formally established.</w:t>
      </w:r>
    </w:p>
    <w:p>
      <w:pPr>
        <w:pStyle w:val="BodyText"/>
      </w:pPr>
      <w:r>
        <w:t xml:space="preserve">The spectral gap undecidability result (Cubitt et al. 2015) connects this level to Level 3. The proof of spectral gap undecidability encodes a Turing machine computation into the ground state energy of a quantum lattice — constructing a physical system whose spectral gap status is equivalent to the halting status of an arbitrary computation. This is Gödel’s diagonalization argument running through quantum mechanics. The physics comma and the computational comma are formally equivalent at the level of undecidability.</w:t>
      </w:r>
    </w:p>
    <w:bookmarkEnd w:id="34"/>
    <w:bookmarkEnd w:id="35"/>
    <w:bookmarkStart w:id="36" w:name="Xb874a4aac155a85e03346c3670a6dbb245abab6"/>
    <w:p>
      <w:pPr>
        <w:pStyle w:val="Heading2"/>
      </w:pPr>
      <w:r>
        <w:t xml:space="preserve">8. Level 6 — Domain Instantiation: The Six Kernels</w:t>
      </w:r>
    </w:p>
    <w:p>
      <w:pPr>
        <w:pStyle w:val="FirstParagraph"/>
      </w:pPr>
      <w:r>
        <w:t xml:space="preserve">The six domain kernels are the distinction operation instantiated in six material substrates. In each case: a minimal operation introduces an irresolvable asymmetry. The asymmetry is not contingent — it is the structural consequence of the distinction operation instantiating in that substrate.</w:t>
      </w:r>
    </w:p>
    <w:p>
      <w:pPr>
        <w:pStyle w:val="BodyText"/>
      </w:pPr>
      <w:r>
        <w:t xml:space="preserve">A clarification is required before the six kernels are recapitulated. The claim that each kernel instantiates the distinction operation is not equivalent to the claim that each kernel introduces a marked/unmarked asymmetry. Any transition whatsoever has the latter property — any cut in time, any boundary in space, any change of state produces a marked/unmarked structure trivially. The domain kernels satisfy something stronger: the four criteria developed in Brink 2026a (v11.3) § 3 (prior, monogenic, inescapable, self-limiting), each of which imposes substantive constraints that most transitions do not satisfy. A kernel is prior to practitioner choice, generates the entire structural field through iteration alone, is present in every non-trivial instance of the domain, and produces a comma at its own boundary that it cannot resolve from within. What the distinction-operation framing adds at this section is the connection to Levels 1–5: the asymmetry each kernel introduces is the same asymmetry that distinction produces at its more primitive instantiations. What the kernel criteria add is the specifically-kernel structure at Level 6 that the distinction operation alone does not produce. The six kernels below are kernels by Paper 1’s four criteria; they are also instantiations of the distinction operation at Level 6 of the hierarchy developed here. Both claims are load-bearing, and the paper’s unification does not rest on the distinction-operation framing alone. One cross-cutting open issue carries forward from Paper 1: the ontological footing of the Commitment position, flagged at Brink 2026a (v11.3) § 3.4 as potentially corpus-level rather than work-level. The recapitulations below classify by work-level properties where possible and rely on corpus-level context where that is the only available reading; the open issue is not resolved in this paper.</w:t>
      </w:r>
    </w:p>
    <w:p>
      <w:pPr>
        <w:pStyle w:val="BodyText"/>
      </w:pPr>
      <w:r>
        <w:rPr>
          <w:bCs/>
          <w:b/>
        </w:rPr>
        <w:t xml:space="preserve">The Fifth (music).</w:t>
      </w:r>
      <w:r>
        <w:t xml:space="preserve"> </w:t>
      </w:r>
      <w:r>
        <w:t xml:space="preserve">The harmonic series instantiates the distinction operation in pitched sound. The fundamental frequency and its overtones establish a marked/unmarked asymmetry: some frequency ratios are acoustically consonant (the inside), others are not (the outside). The fifth — the ratio 3:2 — is the minimal interval that generates the entire tonal field through iteration. But iterated fifths do not close: twelve perfect fifths exceed seven octaves by the Pythagorean comma (approximately 23.46 cents). The asymmetry between the fifth’s generative capacity and its failure to close is structurally irresolvable. Every tuning system is a management strategy for this comma, not a solution to it. The field topology — diatonic, symmetric, chromatic — is the map of how that asymmetry distributes across the closed harmonic space.</w:t>
      </w:r>
    </w:p>
    <w:p>
      <w:pPr>
        <w:pStyle w:val="BodyText"/>
      </w:pPr>
      <w:r>
        <w:rPr>
          <w:bCs/>
          <w:b/>
        </w:rPr>
        <w:t xml:space="preserve">The Cut (cinema).</w:t>
      </w:r>
      <w:r>
        <w:t xml:space="preserve"> </w:t>
      </w:r>
      <w:r>
        <w:t xml:space="preserve">The cut instantiates the distinction operation in the temporal structure of moving images. The cut establishes a marked/unmarked asymmetry: the space before the cut and the space after are distinct. This distinction generates all of cinema’s formal vocabulary. But the cut simultaneously generates an incommensurability between spatial coherence and attentional control that cannot be simultaneously maximized across a sequence of cuts. Every editing tradition is a management strategy for that incommensurability.</w:t>
      </w:r>
    </w:p>
    <w:p>
      <w:pPr>
        <w:pStyle w:val="BodyText"/>
      </w:pPr>
      <w:r>
        <w:rPr>
          <w:bCs/>
          <w:b/>
        </w:rPr>
        <w:t xml:space="preserve">Gravity (architecture).</w:t>
      </w:r>
      <w:r>
        <w:t xml:space="preserve"> </w:t>
      </w:r>
      <w:r>
        <w:t xml:space="preserve">Gravity instantiates the distinction operation in built structure. The vertical establishes a marked/unmarked asymmetry between load and support. This distinction generates all of architecture’s structural vocabulary. The incommensurability between span and depth — between the structural logic of compression and the structural logic of tension — is irresolvable. Every structural tradition is a management strategy for that asymmetry in built form.</w:t>
      </w:r>
    </w:p>
    <w:p>
      <w:pPr>
        <w:pStyle w:val="BodyText"/>
      </w:pPr>
      <w:r>
        <w:rPr>
          <w:bCs/>
          <w:b/>
        </w:rPr>
        <w:t xml:space="preserve">Syntax (literature).</w:t>
      </w:r>
      <w:r>
        <w:t xml:space="preserve"> </w:t>
      </w:r>
      <w:r>
        <w:t xml:space="preserve">Recursive phrase structure instantiates the distinction operation in language. The distinction between grammatical and ungrammatical sequence establishes the marked/unmarked asymmetry that generates literary form. But the relationship between grammatical structure and semantic meaning is irresolvably underdetermined: any well-formed sentence admits multiple interpretations, and any interpretation can be generated by multiple well-formed sentences. Every literary tradition is a management strategy for that underdetermination.</w:t>
      </w:r>
    </w:p>
    <w:p>
      <w:pPr>
        <w:pStyle w:val="BodyText"/>
      </w:pPr>
      <w:r>
        <w:rPr>
          <w:bCs/>
          <w:b/>
        </w:rPr>
        <w:t xml:space="preserve">The Branch/Halt (software).</w:t>
      </w:r>
      <w:r>
        <w:t xml:space="preserve"> </w:t>
      </w:r>
      <w:r>
        <w:t xml:space="preserve">The conditional branch instantiates the distinction operation in computation. The distinction between execution paths establishes the asymmetry that generates all computational structure. The comma is not merely the halting problem but the full generality of Rice’s theorem: no non-trivial semantic property of programs is decidable. Every programming paradigm is a strategy for managing a specific domain of Rice-undecidable properties. The software kernel is the bridge case: its comma is simultaneously a consequence of the distinction operation at Level 4 (Rice, Turing) and a structural feature of the domain kernel at Level 6.</w:t>
      </w:r>
    </w:p>
    <w:p>
      <w:pPr>
        <w:pStyle w:val="BodyText"/>
      </w:pPr>
      <w:r>
        <w:rPr>
          <w:bCs/>
          <w:b/>
        </w:rPr>
        <w:t xml:space="preserve">The Wave Function (physics).</w:t>
      </w:r>
      <w:r>
        <w:t xml:space="preserve"> </w:t>
      </w:r>
      <w:r>
        <w:t xml:space="preserve">Quantum superposition instantiates the distinction operation in physical measurement. The distinction between the superposed state and the measured state establishes the asymmetry that generates quantum mechanics’ formal structure. The comma is the measurement problem — and, as established by Cubitt et al. (2015), it is formally undecidable in the Turing sense. The Wave Function kernel is the second bridge case: its comma is simultaneously a physics result (Level 3 — spontaneous symmetry breaking at the quantum-to-classical boundary), a computational result (Level 4 — spectral gap undecidability), and a domain kernel feature (Level 6). The measurement problem has the structure it has because the Wave Function kernel is an instantiation of the distinction operation at a level where three of the instantiation levels are simultaneously visible.</w:t>
      </w:r>
    </w:p>
    <w:bookmarkEnd w:id="36"/>
    <w:bookmarkStart w:id="37" w:name="X52205b9cda934e112cd897096f885a3c8b06929"/>
    <w:p>
      <w:pPr>
        <w:pStyle w:val="Heading2"/>
      </w:pPr>
      <w:r>
        <w:t xml:space="preserve">9. Level 7 — Epistemic Instantiation: Knowledge-Producing Systems and the Correction Mechanism</w:t>
      </w:r>
    </w:p>
    <w:p>
      <w:pPr>
        <w:pStyle w:val="FirstParagraph"/>
      </w:pPr>
      <w:r>
        <w:t xml:space="preserve">[REQUIRES FORMAL VALIDATION — the argument in this section connects the epistemic dependency condition to Cantor’s theorem by treating</w:t>
      </w:r>
      <w:r>
        <w:t xml:space="preserve"> </w:t>
      </w:r>
      <w:r>
        <w:t xml:space="preserve">‘</w:t>
      </w:r>
      <w:r>
        <w:t xml:space="preserve">the set of all possible analytical frames for a domain</w:t>
      </w:r>
      <w:r>
        <w:t xml:space="preserve">’</w:t>
      </w:r>
      <w:r>
        <w:t xml:space="preserve"> </w:t>
      </w:r>
      <w:r>
        <w:t xml:space="preserve">as a formally defined set. Whether this constitutes a genuine seventh instantiation of the distinction operation or a structural parallel depends on whether that set can be formally specified. The argument as written is structurally compelling but the formal step — applying Cantor’s theorem to an informally defined collection — has not been validated by a mathematician or formal epistemologist. The section should be read as a proposed seventh level pending that formalization, not as an established result.]</w:t>
      </w:r>
    </w:p>
    <w:p>
      <w:pPr>
        <w:pStyle w:val="BodyText"/>
      </w:pPr>
      <w:r>
        <w:t xml:space="preserve">The second paper established that the epistemic dependency of knowledge-producing systems — both human and computational — has the same structure as the comma. This section argues that this is not a structural analogy but a seventh instantiation of the distinction operation, downstream of domain practice in the same way that domain practice is downstream of formal computation.</w:t>
      </w:r>
    </w:p>
    <w:p>
      <w:pPr>
        <w:pStyle w:val="BodyText"/>
      </w:pPr>
      <w:r>
        <w:t xml:space="preserve">A knowledge-producing system — a theorist trained within a tradition, or a computational pipeline trained on human-generated knowledge — draws distinctions within a domain: it marks some framings as salient, some structures as real, some analytical positions as valid. These distinctions constitute the system’s formation. The system’s outputs are navigations of the space those distinctions have organized.</w:t>
      </w:r>
    </w:p>
    <w:p>
      <w:pPr>
        <w:pStyle w:val="BodyText"/>
      </w:pPr>
      <w:r>
        <w:t xml:space="preserve">Cantor’s theorem applies directly. The space of all possible analytical frames for any domain — all possible ways of drawing distinctions within it — is the power set of the set of distinctions the system has instantiated. P(formation) is strictly larger than formation. The system cannot enumerate the analytical frames it has not absorbed, for the same reason that no enumeration of binary sequences is complete: the diagonal construction always escapes. The correction mechanism — external expert engagement from traditions not dominant in the system’s training distribution — is the means of reaching into P(formation) from outside the system’s own generative range.</w:t>
      </w:r>
    </w:p>
    <w:p>
      <w:pPr>
        <w:pStyle w:val="BodyText"/>
      </w:pPr>
      <w:r>
        <w:t xml:space="preserve">This establishes the epistemic dependency as a formal consequence of Cantor’s theorem rather than a contingent limitation of current AI systems. A knowledge-producing system powerful enough to produce knowledge in a domain has, by that same power, instantiated a specific region of a space that Cantor’s theorem proves is always strictly larger. The gap between what the system can navigate and the full space of the domain is not an engineering problem. It is a structural property of the distinction operation at this level.</w:t>
      </w:r>
    </w:p>
    <w:p>
      <w:pPr>
        <w:pStyle w:val="BodyText"/>
      </w:pPr>
      <w:r>
        <w:t xml:space="preserve">The level hierarchy established in Section 4 extends one further step at Level 7. The set-theoretic distinction (Level 1: Cantor) generates the formal distinction (Level 2: Spencer-Brown). Formal distinction grounds the physical distinction (Level 3: symmetry breaking, Noether). Physical distinction grounds the computational distinction (Level 4: Wolfram, Rice, Turing). Computational distinction grounds the formal-systems distinction (Level 5: Gödel). Formal-systems distinction grounds domain practice (Level 6: the six kernels). Domain practice grounds epistemic position (Level 7): the system’s navigation of its domain, organized by the distinctions its formation has drawn, operating within a space the distinctions’ power set always exceeds.</w:t>
      </w:r>
    </w:p>
    <w:p>
      <w:pPr>
        <w:pStyle w:val="BodyText"/>
      </w:pPr>
      <w:r>
        <w:t xml:space="preserve">The five structural positions of the first paper are strategies for navigating the comma at Level 6 — the irresolvable asymmetry within domain practice. The correction mechanism of the second paper is the strategy for managing the comma at Level 7 — the irresolvable asymmetry between any knowledge-producing system’s formation and the full space of possible analytical positions. The structure is the same at both levels. The material substrate differs: creative practice at Level 6, knowledge production at Level 7.</w:t>
      </w:r>
    </w:p>
    <w:p>
      <w:pPr>
        <w:pStyle w:val="BodyText"/>
      </w:pPr>
      <w:r>
        <w:rPr>
          <w:bCs/>
          <w:b/>
        </w:rPr>
        <w:t xml:space="preserve">What the seventh level adds to the argument.</w:t>
      </w:r>
      <w:r>
        <w:t xml:space="preserve"> </w:t>
      </w:r>
      <w:r>
        <w:t xml:space="preserve">The domain-level comma (Level 6) is irresolvable from within the kernel’s own logic. The epistemic comma (Level 7) is irresolvable from within the knowledge-producing system’s own formation. In both cases, the irresolvability is a consequence of Cantor’s theorem: the boundary is always larger than the field it bounds. The correction mechanism — expert engagement from outside the system’s formation — is the Level 7 analog of the five structural positions at Level 6: not a resolution of the comma but a navigation strategy for a gap that cannot be closed from within.</w:t>
      </w:r>
    </w:p>
    <w:p>
      <w:pPr>
        <w:pStyle w:val="BodyText"/>
      </w:pPr>
      <w:r>
        <w:rPr>
          <w:bCs/>
          <w:b/>
        </w:rPr>
        <w:t xml:space="preserve">What requires formalization before Level 7 can be claimed as a genuine instantiation rather than a structural parallel.</w:t>
      </w:r>
      <w:r>
        <w:t xml:space="preserve"> </w:t>
      </w:r>
      <w:r>
        <w:t xml:space="preserve">Cantor’s theorem applies to sets with well-defined elements and a specified membership relation.</w:t>
      </w:r>
      <w:r>
        <w:t xml:space="preserve"> </w:t>
      </w:r>
      <w:r>
        <w:t xml:space="preserve">‘</w:t>
      </w:r>
      <w:r>
        <w:t xml:space="preserve">The set of all possible analytical frames for a domain</w:t>
      </w:r>
      <w:r>
        <w:t xml:space="preserve">’</w:t>
      </w:r>
      <w:r>
        <w:t xml:space="preserve"> </w:t>
      </w:r>
      <w:r>
        <w:t xml:space="preserve">is not formally defined in the current argument — it is an intuitive collection whose cardinality and membership conditions have not been specified. The argument that P(formation) &gt; formation follows from Cantor’s theorem only if formation can be treated as a well-defined set. One path toward formalization: treat the training distribution’s support — the set of texts, analyses, and framings present in the training corpus — as a probability space with a defined sigma-algebra, and treat</w:t>
      </w:r>
      <w:r>
        <w:t xml:space="preserve"> </w:t>
      </w:r>
      <w:r>
        <w:t xml:space="preserve">‘</w:t>
      </w:r>
      <w:r>
        <w:t xml:space="preserve">possible analytical frames</w:t>
      </w:r>
      <w:r>
        <w:t xml:space="preserve">’</w:t>
      </w:r>
      <w:r>
        <w:t xml:space="preserve"> </w:t>
      </w:r>
      <w:r>
        <w:t xml:space="preserve">as the set of measurable events over that space. Whether this formalization preserves the argument’s structure is a question for a mathematician or formal epistemologist. Until that formalization exists, Level 7 is best understood as a structural parallel to the lower levels — one in which the same pattern recurs and the Cantor connection is strongly suggestive — rather than as a formally proven seventh instantiation.</w:t>
      </w:r>
    </w:p>
    <w:p>
      <w:pPr>
        <w:pStyle w:val="BodyText"/>
      </w:pPr>
      <w:r>
        <w:t xml:space="preserve">The five structural positions derived in the first paper are strategies for navigating the irresolvable asymmetry at Level 6. Their universality follows from the universality of the asymmetry they navigate.</w:t>
      </w:r>
    </w:p>
    <w:p>
      <w:pPr>
        <w:pStyle w:val="BodyText"/>
      </w:pPr>
      <w:r>
        <w:rPr>
          <w:bCs/>
          <w:b/>
        </w:rPr>
        <w:t xml:space="preserve">Infrastructure</w:t>
      </w:r>
      <w:r>
        <w:t xml:space="preserve"> </w:t>
      </w:r>
      <w:r>
        <w:t xml:space="preserve">— the position that uses the kernel’s generative capacity as invisible load-bearing structure — is the strategy of working within the marked side of the distinction without making the distinction itself visible. The asymmetry is present but unacknowledged as asymmetry. Bach’s chorales navigate the fifth’s generative capacity as given infrastructure.</w:t>
      </w:r>
    </w:p>
    <w:p>
      <w:pPr>
        <w:pStyle w:val="BodyText"/>
      </w:pPr>
      <w:r>
        <w:rPr>
          <w:bCs/>
          <w:b/>
        </w:rPr>
        <w:t xml:space="preserve">Distribution</w:t>
      </w:r>
      <w:r>
        <w:t xml:space="preserve"> </w:t>
      </w:r>
      <w:r>
        <w:t xml:space="preserve">— the position that maps the full territory the kernel generates — is the strategy of treating the distinction’s output as a field to be surveyed. The field of tonal music from Rimsky to Debussy to Coltrane is a distribution of positions across the space the fifth generates.</w:t>
      </w:r>
    </w:p>
    <w:p>
      <w:pPr>
        <w:pStyle w:val="BodyText"/>
      </w:pPr>
      <w:r>
        <w:rPr>
          <w:bCs/>
          <w:b/>
        </w:rPr>
        <w:t xml:space="preserve">Exploitation</w:t>
      </w:r>
      <w:r>
        <w:t xml:space="preserve"> </w:t>
      </w:r>
      <w:r>
        <w:t xml:space="preserve">— the position that locates the specific structural properties the kernel’s geometry makes available at the boundary regions — is the strategy of working the comma.</w:t>
      </w:r>
      <w:r>
        <w:t xml:space="preserve"> </w:t>
      </w:r>
      <w:r>
        <w:rPr>
          <w:iCs/>
          <w:i/>
        </w:rPr>
        <w:t xml:space="preserve">Giant Steps</w:t>
      </w:r>
      <w:r>
        <w:t xml:space="preserve"> </w:t>
      </w:r>
      <w:r>
        <w:t xml:space="preserve">exploits the major-third cycle’s specific topological property: it divides the octave into three equal parts, producing a closed loop that the tonal system’s asymmetry makes navigable at extreme harmonic speed.</w:t>
      </w:r>
    </w:p>
    <w:p>
      <w:pPr>
        <w:pStyle w:val="BodyText"/>
      </w:pPr>
      <w:r>
        <w:rPr>
          <w:bCs/>
          <w:b/>
        </w:rPr>
        <w:t xml:space="preserve">Commitment</w:t>
      </w:r>
      <w:r>
        <w:t xml:space="preserve"> </w:t>
      </w:r>
      <w:r>
        <w:t xml:space="preserve">— the position that follows the kernel’s organizing logic with total fidelity until the operation and its limit become identical — is the strategy of extending the distinction to its own boundary. Bach’s contrapuntal practice extends the fifth’s generative logic through every formal transformation of a single subject, approaching the point where the system’s own logic cannot continue.</w:t>
      </w:r>
      <w:r>
        <w:t xml:space="preserve"> </w:t>
      </w:r>
      <w:r>
        <w:rPr>
          <w:iCs/>
          <w:i/>
        </w:rPr>
        <w:t xml:space="preserve">The Art of Fugue</w:t>
      </w:r>
      <w:r>
        <w:t xml:space="preserve">’s unfinished final fugue is the comma made audible through maximum fidelity: the distinction extended until the field it generates can no longer support the extension. In Spencer-Brown’s terms, Commitment is the re-entry of the form into itself pursued deliberately and without deflection — the practitioner following the distinction back toward the unmarked state until the system cannot sustain the approach.</w:t>
      </w:r>
    </w:p>
    <w:p>
      <w:pPr>
        <w:pStyle w:val="BodyText"/>
      </w:pPr>
      <w:r>
        <w:rPr>
          <w:bCs/>
          <w:b/>
        </w:rPr>
        <w:t xml:space="preserve">Refusal</w:t>
      </w:r>
      <w:r>
        <w:t xml:space="preserve"> </w:t>
      </w:r>
      <w:r>
        <w:t xml:space="preserve">— the position that negates the kernel’s organizing logic — is the strategy of working against the distinction. Schoenberg’s twelve-tone method refuses the fifth’s capacity to organize pitch into tonal hierarchy, making the equality of all twelve chromatic pitches the organizing principle — the distinction’s asymmetry systematically negated as compositional law. Cage’s chance operations extend this further: refusing the fifth’s organizing capacity entirely, producing music organized by the absence of the kernel’s structure. In Spencer-Brown’s terms, Refusal is the attempt to return to the unmarked state by negating the mark — to operate as though the distinction had not been drawn. That the unmarked state is unrecoverable once the mark exists means that Refusal does not restore the original condition; it produces a new and different structure organized around the mark’s absence, which is itself a distinction.</w:t>
      </w:r>
    </w:p>
    <w:p>
      <w:pPr>
        <w:pStyle w:val="BodyText"/>
      </w:pPr>
      <w:r>
        <w:t xml:space="preserve">These five positions exhaust the logical space of orientations relative to any irresolvable asymmetry introduced by the distinction operation: use it invisibly, map it, exploit its topology, make it explicit, negate it. That this is also the exhaustive space of orientations relative to the distinction operation’s asymmetry at every level is the generative explanation the first paper’s structural derivation required.</w:t>
      </w:r>
    </w:p>
    <w:p>
      <w:pPr>
        <w:pStyle w:val="BodyText"/>
      </w:pPr>
      <w:r>
        <w:t xml:space="preserve">The five positions can be expressed in the pre-formal notation developed heuristically in Brink 2026d (v5.0) § 5 — where ∂ is the distinction operator, M is the marked side, Ū is the unmarked remainder, κ is the comma, D is the decoherence-stabilization operator, and ⇒ is the directed burn operator. The notation is pictorial, not derivational; it records what a process-primary formal system would need to express, not a completed formalism. No formal inference rules govern the operators above — their composition behavior, their identity conditions, and the topology of their domains are not specified by either paper — and the notation does no derivational work within this paper. It is used here as pictorial restatement of positions already defined in Brink 2026a (v11.3) § 3.4; readers should read the expressions below as diagrams, not as formulas from which conclusions could be drawn:</w:t>
      </w:r>
    </w:p>
    <w:p>
      <w:pPr>
        <w:pStyle w:val="BodyText"/>
      </w:pPr>
      <w:r>
        <w:rPr>
          <w:bCs/>
          <w:b/>
        </w:rPr>
        <w:t xml:space="preserve">Infrastructure</w:t>
      </w:r>
      <w:r>
        <w:t xml:space="preserve"> </w:t>
      </w:r>
      <w:r>
        <w:t xml:space="preserve">— Use(∂): operates within the marked side M using κ as background noise. The asymmetry is present but unacknowledged as asymmetry. κ is invisible infrastructure.</w:t>
      </w:r>
    </w:p>
    <w:p>
      <w:pPr>
        <w:pStyle w:val="BodyText"/>
      </w:pPr>
      <w:r>
        <w:rPr>
          <w:bCs/>
          <w:b/>
        </w:rPr>
        <w:t xml:space="preserve">Distribution</w:t>
      </w:r>
      <w:r>
        <w:t xml:space="preserve"> </w:t>
      </w:r>
      <w:r>
        <w:t xml:space="preserve">— Survey(D(M ∪ Ū)): maps the full territory the distinction generates. κ is the boundary — the fence marking where description ends and process begins.</w:t>
      </w:r>
    </w:p>
    <w:p>
      <w:pPr>
        <w:pStyle w:val="BodyText"/>
      </w:pPr>
      <w:r>
        <w:rPr>
          <w:bCs/>
          <w:b/>
        </w:rPr>
        <w:t xml:space="preserve">Exploitation</w:t>
      </w:r>
      <w:r>
        <w:t xml:space="preserve"> </w:t>
      </w:r>
      <w:r>
        <w:t xml:space="preserve">— lim(D(P) → κ): operates at the boundary where the description approaches κ. κ is fuel — the tension at the edge of the ε-regime is the generative resource.</w:t>
      </w:r>
    </w:p>
    <w:p>
      <w:pPr>
        <w:pStyle w:val="BodyText"/>
      </w:pPr>
      <w:r>
        <w:rPr>
          <w:bCs/>
          <w:b/>
        </w:rPr>
        <w:t xml:space="preserve">Commitment</w:t>
      </w:r>
      <w:r>
        <w:t xml:space="preserve"> </w:t>
      </w:r>
      <w:r>
        <w:t xml:space="preserve">— ∂(∂) → ∂(κ): follows the distinction operation applied to its own output toward the bankruptcy point. κ is the destination — the point where κ_total approaches the domain’s tolerance threshold.</w:t>
      </w:r>
    </w:p>
    <w:p>
      <w:pPr>
        <w:pStyle w:val="BodyText"/>
      </w:pPr>
      <w:r>
        <w:rPr>
          <w:bCs/>
          <w:b/>
        </w:rPr>
        <w:t xml:space="preserve">Refusal</w:t>
      </w:r>
      <w:r>
        <w:t xml:space="preserve"> </w:t>
      </w:r>
      <w:r>
        <w:t xml:space="preserve">— Op(¬M) ∈ D: operates on the negation of the mark within the description space. κ is the shadow — the inverted comma, a monument to what the distinction left out. Refusal does not restore the unmarked state; it produces a new structure organized around the mark’s absence.</w:t>
      </w:r>
    </w:p>
    <w:bookmarkEnd w:id="37"/>
    <w:bookmarkStart w:id="40" w:name="X9b2521522414362d5f797552e03189dd0b80adf"/>
    <w:p>
      <w:pPr>
        <w:pStyle w:val="Heading2"/>
      </w:pPr>
      <w:r>
        <w:t xml:space="preserve">10. What Is Novel, What Requires Validation, and the Collaborator Question</w:t>
      </w:r>
    </w:p>
    <w:p>
      <w:pPr>
        <w:pStyle w:val="FirstParagraph"/>
      </w:pPr>
      <w:r>
        <w:t xml:space="preserve">The individual components of this paper’s argument exist in separate literatures, without connection:</w:t>
      </w:r>
    </w:p>
    <w:p>
      <w:pPr>
        <w:pStyle w:val="BodyText"/>
      </w:pPr>
      <w:r>
        <w:t xml:space="preserve">Cantor’s diagonal argument and power set theorem are fully established results in set theory. Their role as the most elementary formal instantiation of the distinction operation — and as the formal root from which Gödel’s incompleteness proof, Turing’s halting problem, and Rice’s theorem are downstream by the same diagonalization structure — has not been articulated as a unified lineage connected to physical symmetry breaking or domain practice.</w:t>
      </w:r>
    </w:p>
    <w:p>
      <w:pPr>
        <w:pStyle w:val="BodyText"/>
      </w:pPr>
      <w:r>
        <w:t xml:space="preserve">Spencer-Brown’s distinction operation is developed in formal logic and second-order cybernetics. It has been connected to self-reference, recursion, and the foundations of mathematics — but not to physical symmetry breaking, Cantor’s set-theoretic results, or the structure of human creative practice.</w:t>
      </w:r>
    </w:p>
    <w:p>
      <w:pPr>
        <w:pStyle w:val="BodyText"/>
      </w:pPr>
      <w:r>
        <w:t xml:space="preserve">Spontaneous symmetry breaking is fully developed in physics. Noether’s theorem is fully developed. Their implications for the structure of what is locally manageable versus globally irresolvable have not been connected to Spencer-Brown or to creative practice structure.</w:t>
      </w:r>
    </w:p>
    <w:p>
      <w:pPr>
        <w:pStyle w:val="BodyText"/>
      </w:pPr>
      <w:r>
        <w:t xml:space="preserve">Wolfram’s computational irreducibility connects asymmetric rules to complexity. The Ruliad establishes the space all possible computations explore. Neither has been connected to the distinction operation or to domain-level creative practice.</w:t>
      </w:r>
    </w:p>
    <w:p>
      <w:pPr>
        <w:pStyle w:val="BodyText"/>
      </w:pPr>
      <w:r>
        <w:t xml:space="preserve">Rice’s theorem is established in computability theory. Its implications for the full generality of what programming paradigms are managing have not been connected to the distinction operation or to domain structure.</w:t>
      </w:r>
    </w:p>
    <w:p>
      <w:pPr>
        <w:pStyle w:val="BodyText"/>
      </w:pPr>
      <w:r>
        <w:t xml:space="preserve">Gödel’s incompleteness and Cubitt et al.’s spectral gap undecidability result are established. Their structural connection through the diagonalization argument has not been formalized as a bridge between the physical and computational instantiations of the distinction operation.</w:t>
      </w:r>
    </w:p>
    <w:p>
      <w:pPr>
        <w:pStyle w:val="BodyText"/>
      </w:pPr>
      <w:r>
        <w:t xml:space="preserve">The domain kernels and their commas are the contribution of the first paper. They have not been connected to any of the above literatures.</w:t>
      </w:r>
    </w:p>
    <w:p>
      <w:pPr>
        <w:pStyle w:val="BodyText"/>
      </w:pPr>
      <w:r>
        <w:t xml:space="preserve">The novel contribution is the formal bridge: these levels are not analogous structures but instantiations of the same structure at different scales, connected by the distinction operation’s propagation through its own instantiation hierarchy.</w:t>
      </w:r>
    </w:p>
    <w:bookmarkStart w:id="38" w:name="what-requires-validation"/>
    <w:p>
      <w:pPr>
        <w:pStyle w:val="Heading3"/>
      </w:pPr>
      <w:r>
        <w:t xml:space="preserve">10.1 What requires validation</w:t>
      </w:r>
    </w:p>
    <w:p>
      <w:pPr>
        <w:pStyle w:val="FirstParagraph"/>
      </w:pPr>
      <w:r>
        <w:rPr>
          <w:bCs/>
          <w:b/>
        </w:rPr>
        <w:t xml:space="preserve">Category theory.</w:t>
      </w:r>
      <w:r>
        <w:t xml:space="preserve"> </w:t>
      </w:r>
      <w:r>
        <w:t xml:space="preserve">The formalization in Section 4 requires engagement with a category theorist or mathematical logician who can evaluate whether the endofunctor formulation is correct and whether the comma-generation condition (D4) is formally well-specified. A specific formal question has emerged that sharpens what the category theorist needs to evaluate. In category theory, the comma category is a standard construction: given two functors F: A → C and G: B → C, the comma category (F ↓ G) has as objects triples (a, b, f) where f: F(a) → G(b) is a morphism in C, and as morphisms pairs (h, k) that make the relevant square commute. The name derives from Lawvere’s original notation. The comma category lives in the gap between two functors — it captures the space of relationships between their outputs rather than the outputs themselves.</w:t>
      </w:r>
    </w:p>
    <w:p>
      <w:pPr>
        <w:pStyle w:val="BodyText"/>
      </w:pPr>
      <w:r>
        <w:t xml:space="preserve">The terminology collision between</w:t>
      </w:r>
      <w:r>
        <w:t xml:space="preserve"> </w:t>
      </w:r>
      <w:r>
        <w:t xml:space="preserve">‘</w:t>
      </w:r>
      <w:r>
        <w:t xml:space="preserve">comma</w:t>
      </w:r>
      <w:r>
        <w:t xml:space="preserve">’</w:t>
      </w:r>
      <w:r>
        <w:t xml:space="preserve"> </w:t>
      </w:r>
      <w:r>
        <w:t xml:space="preserve">in the framework’s sense and</w:t>
      </w:r>
      <w:r>
        <w:t xml:space="preserve"> </w:t>
      </w:r>
      <w:r>
        <w:t xml:space="preserve">‘</w:t>
      </w:r>
      <w:r>
        <w:t xml:space="preserve">comma category</w:t>
      </w:r>
      <w:r>
        <w:t xml:space="preserve">’</w:t>
      </w:r>
      <w:r>
        <w:t xml:space="preserve"> </w:t>
      </w:r>
      <w:r>
        <w:t xml:space="preserve">in the technical sense may point at a real formal connection rather than merely a naming problem. If the kernel is formalized as an endofunctor D: C → C, the natural candidate for the FalseWork comma is the comma category (Id ↓ D) — the category of morphisms f: X → D(X) for objects X in C. This is exactly the class of transitions from objects in the field toward the next level of the distinction hierarchy — morphisms that originate within the field but lead toward what D generates from it, and which cannot be completed within C because their target is in D(C) rather than C. This is structurally equivalent to what D4 is trying to capture.</w:t>
      </w:r>
    </w:p>
    <w:p>
      <w:pPr>
        <w:pStyle w:val="BodyText"/>
      </w:pPr>
      <w:r>
        <w:t xml:space="preserve">The specific question for a category theorist: is the FalseWork comma formally definable as the comma category (Id ↓ D), and if so, does this formalization make D4 a theorem rather than a condition — a consequence of the endofunctor structure rather than an additional requirement imposed on it? If the answer is yes, the category-theoretic formalization gains significant precision and the terminology collision resolves into a genuine formal identification. If the answer is no, a different formalization is required and the current D4 needs to be rebuilt. Either outcome advances the argument.</w:t>
      </w:r>
    </w:p>
    <w:p>
      <w:pPr>
        <w:pStyle w:val="BodyText"/>
      </w:pPr>
      <w:r>
        <w:t xml:space="preserve">A second formal question bears on the choice of mathematical substrate. The current formalization operates in an abstract category C with no specified enrichment. A more constrained candidate is the category of vector spaces Vect, or a category enriched over Vect, which would give the comma construction additional geometric content directly relevant to the framework’s claims. In Vect, the hom-set Hom(V, W) — the set of all linear maps from V to W — is itself a vector space. This is the internal hom. When V = W, Hom(V, V) is the space of all linear endomorphisms of V, with dimension n² when V has dimension n. The space of all linear maps from a vector space to itself is always strictly larger than the space itself: dim(Hom(V,V)) = n² &gt; n = dim(V). This is the Vect-theoretic analog of Cantor’s power set theorem instantiated geometrically. If the kernel’s generative field is modeled as a vector space V, and D is a linear endomorphism, then the comma category (Id ↓ D) in Vect becomes Hom(V, D(V)) — itself a vector space whose dimension exceeds that of V. The comma’s irresolvability is not an additional condition but a consequence of the internal hom structure.</w:t>
      </w:r>
    </w:p>
    <w:p>
      <w:pPr>
        <w:pStyle w:val="BodyText"/>
      </w:pPr>
      <w:r>
        <w:t xml:space="preserve">A third formal question concerns whether the right mathematical substrate is not Vect but an ∞-topos. Recent work by Riehl (2026) on synthetic perspectives on spaces and categories provides formal constructions that connect directly to several open questions in the FalseWork formalization. Specifically: Riehl’s coslice category c/C is formally equivalent to the comma category (Id ↓ D) proposed above. Riehl’s arrow induction principle (Proposition 6.7) states that to define a section of a covariant family over the coslice c/C, it suffices to specify the image of the identity arrow id_c — potentially making D4 a theorem rather than an axiom. Riehl’s directed univalent universe S provides a candidate formal model for the distinction operation’s level hierarchy. These connections are structurally compelling proposals, not proven results. The natural person to evaluate them is Riehl herself, whose work at Johns Hopkins on synthetic category theory is precisely the formal machinery the formalization requires.</w:t>
      </w:r>
    </w:p>
    <w:p>
      <w:pPr>
        <w:pStyle w:val="BodyText"/>
      </w:pPr>
      <w:r>
        <w:rPr>
          <w:bCs/>
          <w:b/>
        </w:rPr>
        <w:t xml:space="preserve">Physics — Noether and symmetry breaking.</w:t>
      </w:r>
      <w:r>
        <w:t xml:space="preserve"> </w:t>
      </w:r>
      <w:r>
        <w:t xml:space="preserve">Section 6 requires engagement with a physicist who can evaluate whether the connection between Noether’s theorem, spontaneous symmetry breaking, and the distinction operation is formal or merely structural, and whether the locally-managed / globally-irresolvable framing is rigorously supportable. The additional foundational questions raised in Section 6.1 — regarding whether the pre-inflationary high-symmetry state is a genuine ontological prior or a scale-dependent modeling artifact, and whether the Higgs vacuum structure is consistent with original asymmetry — require engagement with someone working on foundational cosmology and quantum field theory specifically.</w:t>
      </w:r>
    </w:p>
    <w:p>
      <w:pPr>
        <w:pStyle w:val="BodyText"/>
      </w:pPr>
      <w:r>
        <w:rPr>
          <w:bCs/>
          <w:b/>
        </w:rPr>
        <w:t xml:space="preserve">Physics — spectral gap.</w:t>
      </w:r>
      <w:r>
        <w:t xml:space="preserve"> </w:t>
      </w:r>
      <w:r>
        <w:t xml:space="preserve">The Cubitt et al. (2015) connection requires engagement with someone familiar with the proof’s structure — specifically, whether the encoding of Turing machine computation into quantum ground state energy is the right formal bridge between Levels 3 and 4, or whether a more direct connection exists.</w:t>
      </w:r>
    </w:p>
    <w:p>
      <w:pPr>
        <w:pStyle w:val="BodyText"/>
      </w:pPr>
      <w:r>
        <w:rPr>
          <w:bCs/>
          <w:b/>
        </w:rPr>
        <w:t xml:space="preserve">Wolfram Physics Project.</w:t>
      </w:r>
      <w:r>
        <w:t xml:space="preserve"> </w:t>
      </w:r>
      <w:r>
        <w:t xml:space="preserve">The Ruliad framing requires engagement with the current state of the Wolfram Physics Project’s formalism. The observer-position-as-comma argument needs formal grounding in that framework.</w:t>
      </w:r>
    </w:p>
    <w:p>
      <w:pPr>
        <w:pStyle w:val="BodyText"/>
      </w:pPr>
      <w:r>
        <w:rPr>
          <w:bCs/>
          <w:b/>
        </w:rPr>
        <w:t xml:space="preserve">Rice’s theorem connection.</w:t>
      </w:r>
      <w:r>
        <w:t xml:space="preserve"> </w:t>
      </w:r>
      <w:r>
        <w:t xml:space="preserve">The claim that Rice’s theorem is the computational complement of Noether’s theorem requires formal verification. The structural parallel is strong; the formal equivalence is a claim that requires proof.</w:t>
      </w:r>
    </w:p>
    <w:bookmarkEnd w:id="38"/>
    <w:bookmarkStart w:id="39" w:name="Xadbd1d7025712ba9767737eb2a1153d1ce9d4ea"/>
    <w:p>
      <w:pPr>
        <w:pStyle w:val="Heading3"/>
      </w:pPr>
      <w:r>
        <w:t xml:space="preserve">10.2 The renormalization group and the collaborator question</w:t>
      </w:r>
    </w:p>
    <w:p>
      <w:pPr>
        <w:pStyle w:val="FirstParagraph"/>
      </w:pPr>
      <w:r>
        <w:t xml:space="preserve">The cross-domain homology claim — that the same five positions appear across music, cinema, architecture, literature, software, and physics because all six domains are downstream of the distinction operation — currently rests on structural argument rather than formal proof. Kenneth Wilson’s renormalization group (RG) provides a candidate formal mechanism that warrants serious evaluation. The RG insight is that at the critical point, materials with radically different microscopic constituents exhibit identical macroscopic behavior — universality classes emerge that are substrate-independent. The comma is FalseWork’s critical point. The five positions would then be universality classes: structural equivalence classes that are material-independent because they describe orientations relative to the comma rather than properties of any specific substrate. This is a structurally compelling proposal, not a proven result. Three questions require formal engagement before the RG connection can be advanced as established: whether the comma satisfies the technical conditions for a critical point; whether the five positions constitute genuine universality classes in the RG sense; and whether the cross-domain appearance of the same five positions is formally equivalent to universality, or a weaker structural homology that RG illuminates but does not ground.</w:t>
      </w:r>
    </w:p>
    <w:p>
      <w:pPr>
        <w:pStyle w:val="BodyText"/>
      </w:pPr>
      <w:r>
        <w:t xml:space="preserve">This paper requires formal collaboration. The argument spans formal logic, physics, computational theory, and domain analysis — no single researcher can evaluate all levels independently. The natural collaborator is someone at the intersection of complexity science, formal systems, and the philosophy of science — the same intellectual neighborhood as the Santa Fe Institute, where cross-scale structural arguments are a primary mode of inquiry. David Krakauer’s work on the relationship between computation, information, and biological and cultural complexity is directly adjacent. The Santa Fe Institute’s cross-disciplinary mandate makes this kind of argument their home territory.</w:t>
      </w:r>
    </w:p>
    <w:p>
      <w:pPr>
        <w:pStyle w:val="BodyText"/>
      </w:pPr>
      <w:r>
        <w:t xml:space="preserve">The specific question for Krakauer is whether the renormalization group provides the formal mechanism for FalseWork’s cross-domain homology claim. The framework has derived five structural positions that appear universally across six domains from a kernel/comma topology that is formally equivalent across substrates. Wilson’s RG showed that at critical points, universality classes emerge that are substrate-independent: only symmetry and dimensionality determine behavior. The question is whether the comma is a critical point in the RG sense and whether the five positions constitute universality classes. If they do, the cross-domain homology has a formal mechanism rather than a structural argument. If they don’t, the RG parallel illuminates the claim without grounding it, and a different formal mechanism must be sought. This is a specific, falsifiable question that Krakauer’s expertise at the intersection of information theory, complexity science, and biological universality is positioned to evaluate. The outreach should happen after the first paper has established the domain-level argument publicly and acquired a DOI.</w:t>
      </w:r>
    </w:p>
    <w:bookmarkEnd w:id="39"/>
    <w:bookmarkEnd w:id="40"/>
    <w:bookmarkStart w:id="41" w:name="conclusion"/>
    <w:p>
      <w:pPr>
        <w:pStyle w:val="Heading2"/>
      </w:pPr>
      <w:r>
        <w:t xml:space="preserve">11. Conclusion</w:t>
      </w:r>
    </w:p>
    <w:p>
      <w:pPr>
        <w:pStyle w:val="FirstParagraph"/>
      </w:pPr>
      <w:r>
        <w:t xml:space="preserve">The first paper derived five universal structural positions from domain kernels. The second paper established that the epistemic dependency of knowledge-producing systems has the same structure as the kernel’s comma. This paper proposes that both results follow from a single more primitive structure: the distinction operation, and its propagation through seven levels of instantiation from Cantor’s set-theoretic primitive through Spencer-Brown’s formal derivation, physical symmetry breaking, computational irreducibility, formal incompleteness, domain kernels, and finally the epistemic position of any knowledge-producing system relative to its own formation. A Level 0 — the universe as continuous asymmetric process prior to any distinction — is noted here and developed in the fourth paper (Brink 2026d).</w:t>
      </w:r>
    </w:p>
    <w:p>
      <w:pPr>
        <w:pStyle w:val="BodyText"/>
      </w:pPr>
      <w:r>
        <w:t xml:space="preserve">These are not seven analogous structures. They are seven instantiations of one structure — the irresolvable asymmetry that the distinction operation introduces — across seven levels of description. The convergence is not a pattern the framework imposes. It is a structural consequence of the fact that all seven levels are organized around operations that are downstream of the distinction operation, and the distinction operation’s asymmetry propagates through every system it generates. Cantor’s power set theorem is the formal proof that this propagation is irresolvable at every level: the boundary is always larger than the field it bounds, and the comma is always present wherever a distinction has been drawn.</w:t>
      </w:r>
    </w:p>
    <w:p>
      <w:pPr>
        <w:pStyle w:val="BodyText"/>
      </w:pPr>
      <w:r>
        <w:t xml:space="preserve">The same five positions appear across all six domains not merely because the derivation applies wherever a kernel exists — but because the derivation applies wherever a kernel exists, and kernels exist wherever the distinction operation has instantiated in a material substrate, and the distinction operation instantiates wherever a domain of sustained human practice has organized around a minimal generative operation that introduces an irresolvable asymmetry.</w:t>
      </w:r>
    </w:p>
    <w:p>
      <w:pPr>
        <w:pStyle w:val="BodyText"/>
      </w:pPr>
      <w:r>
        <w:t xml:space="preserve">The comma is not a metaphor for physical symmetry breaking. It is the same phenomenon — the irresolvable asymmetry that distinction introduces — operating at the human practice scale rather than the cosmological or quantum scale.</w:t>
      </w:r>
    </w:p>
    <w:p>
      <w:pPr>
        <w:pStyle w:val="BodyText"/>
      </w:pPr>
      <w:r>
        <w:t xml:space="preserve">The instrument navigates. The comma is where the navigation ends. The distinction operation is why the comma is there.</w:t>
      </w:r>
    </w:p>
    <w:bookmarkEnd w:id="41"/>
    <w:bookmarkStart w:id="42" w:name="references"/>
    <w:p>
      <w:pPr>
        <w:pStyle w:val="Heading2"/>
      </w:pPr>
      <w:r>
        <w:t xml:space="preserve">References</w:t>
      </w:r>
    </w:p>
    <w:p>
      <w:pPr>
        <w:pStyle w:val="FirstParagraph"/>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Baker, A. (1966). Linear forms in the logarithms of algebraic numbers I.</w:t>
      </w:r>
      <w:r>
        <w:t xml:space="preserve"> </w:t>
      </w:r>
      <w:r>
        <w:rPr>
          <w:iCs/>
          <w:i/>
        </w:rPr>
        <w:t xml:space="preserve">Mathematika</w:t>
      </w:r>
      <w:r>
        <w:t xml:space="preserve">, 13(2), 204–216.</w:t>
      </w:r>
    </w:p>
    <w:p>
      <w:pPr>
        <w:pStyle w:val="BodyText"/>
      </w:pPr>
      <w:r>
        <w:t xml:space="preserve">Cantor, G. (1874). Über eine Eigenschaft des Inbegriffes aller reellen algebraischen Zahlen.</w:t>
      </w:r>
      <w:r>
        <w:t xml:space="preserve"> </w:t>
      </w:r>
      <w:r>
        <w:rPr>
          <w:iCs/>
          <w:i/>
        </w:rPr>
        <w:t xml:space="preserve">Journal für die reine und angewandte Mathematik</w:t>
      </w:r>
      <w:r>
        <w:t xml:space="preserve">, 77, 258–262.</w:t>
      </w:r>
    </w:p>
    <w:p>
      <w:pPr>
        <w:pStyle w:val="BodyText"/>
      </w:pPr>
      <w:r>
        <w:t xml:space="preserve">Cantor, G. (1891). Über eine elementare Frage der Mannigfaltigkeitslehre.</w:t>
      </w:r>
      <w:r>
        <w:t xml:space="preserve"> </w:t>
      </w:r>
      <w:r>
        <w:rPr>
          <w:iCs/>
          <w:i/>
        </w:rPr>
        <w:t xml:space="preserve">Jahresbericht der Deutschen Mathematiker-Vereinigung</w:t>
      </w:r>
      <w:r>
        <w:t xml:space="preserve">, 1, 75–78.</w:t>
      </w:r>
    </w:p>
    <w:p>
      <w:pPr>
        <w:pStyle w:val="BodyText"/>
      </w:pPr>
      <w:r>
        <w:t xml:space="preserve">Cayley, A. (1845). On Jacobi’s elliptic functions, in reply to the Rev. B. Bronwin; and on quaternions.</w:t>
      </w:r>
      <w:r>
        <w:t xml:space="preserve"> </w:t>
      </w:r>
      <w:r>
        <w:rPr>
          <w:iCs/>
          <w:i/>
        </w:rPr>
        <w:t xml:space="preserve">Philosophical Magazine</w:t>
      </w:r>
      <w:r>
        <w:t xml:space="preserve">, 26, 208–211.</w:t>
      </w:r>
    </w:p>
    <w:p>
      <w:pPr>
        <w:pStyle w:val="BodyText"/>
      </w:pPr>
      <w:r>
        <w:t xml:space="preserve">Cubitt, T. S., Perez-Garcia, D., &amp; Wolf, M. M. (2015). Undecidability of the spectral gap.</w:t>
      </w:r>
      <w:r>
        <w:t xml:space="preserve"> </w:t>
      </w:r>
      <w:r>
        <w:rPr>
          <w:iCs/>
          <w:i/>
        </w:rPr>
        <w:t xml:space="preserve">Nature</w:t>
      </w:r>
      <w:r>
        <w:t xml:space="preserve">, 528, 207–211.</w:t>
      </w:r>
    </w:p>
    <w:p>
      <w:pPr>
        <w:pStyle w:val="BodyText"/>
      </w:pPr>
      <w:r>
        <w:t xml:space="preserve">Dickson, L. E. (1919). On quaternions and their generalization and the history of the eight square theorem.</w:t>
      </w:r>
      <w:r>
        <w:t xml:space="preserve"> </w:t>
      </w:r>
      <w:r>
        <w:rPr>
          <w:iCs/>
          <w:i/>
        </w:rPr>
        <w:t xml:space="preserve">Annals of Mathematics</w:t>
      </w:r>
      <w:r>
        <w:t xml:space="preserve">, 20(3), 155–171.</w:t>
      </w:r>
    </w:p>
    <w:p>
      <w:pPr>
        <w:pStyle w:val="BodyText"/>
      </w:pPr>
      <w:r>
        <w:t xml:space="preserve">Feynman, R. P., Leighton, R. B., &amp; Sands, M. (1964).</w:t>
      </w:r>
      <w:r>
        <w:t xml:space="preserve"> </w:t>
      </w:r>
      <w:r>
        <w:rPr>
          <w:iCs/>
          <w:i/>
        </w:rPr>
        <w:t xml:space="preserve">The Feynman lectures on physics, volume I</w:t>
      </w:r>
      <w:r>
        <w:t xml:space="preserve"> </w:t>
      </w:r>
      <w:r>
        <w:t xml:space="preserve">(Ch. 22, Algebra). Addison-Wesley.</w:t>
      </w:r>
    </w:p>
    <w:p>
      <w:pPr>
        <w:pStyle w:val="BodyText"/>
      </w:pPr>
      <w:r>
        <w:t xml:space="preserve">Frobenius, F. G. (1878). Über lineare Substitutionen und bilineare Formen.</w:t>
      </w:r>
      <w:r>
        <w:t xml:space="preserve"> </w:t>
      </w:r>
      <w:r>
        <w:rPr>
          <w:iCs/>
          <w:i/>
        </w:rPr>
        <w:t xml:space="preserve">Journal für die reine und angewandte Mathematik</w:t>
      </w:r>
      <w:r>
        <w:t xml:space="preserve">, 84, 1–63.</w:t>
      </w:r>
    </w:p>
    <w:p>
      <w:pPr>
        <w:pStyle w:val="BodyText"/>
      </w:pPr>
      <w:r>
        <w:t xml:space="preserve">Gödel, K. (1931). Über formal unentscheidbare Sätze der Principia Mathematica und verwandter Systeme I.</w:t>
      </w:r>
      <w:r>
        <w:t xml:space="preserve"> </w:t>
      </w:r>
      <w:r>
        <w:rPr>
          <w:iCs/>
          <w:i/>
        </w:rPr>
        <w:t xml:space="preserve">Monatshefte für Mathematik und Physik</w:t>
      </w:r>
      <w:r>
        <w:t xml:space="preserve">, 38, 173–198.</w:t>
      </w:r>
    </w:p>
    <w:p>
      <w:pPr>
        <w:pStyle w:val="BodyText"/>
      </w:pPr>
      <w:r>
        <w:t xml:space="preserve">Gödel, K. (1940).</w:t>
      </w:r>
      <w:r>
        <w:t xml:space="preserve"> </w:t>
      </w:r>
      <w:r>
        <w:rPr>
          <w:iCs/>
          <w:i/>
        </w:rPr>
        <w:t xml:space="preserve">The consistency of the axiom of choice and of the generalized continuum hypothesis with the axioms of set theory</w:t>
      </w:r>
      <w:r>
        <w:t xml:space="preserve">. Annals of Mathematics Studies 3. Princeton University Press.</w:t>
      </w:r>
    </w:p>
    <w:p>
      <w:pPr>
        <w:pStyle w:val="BodyText"/>
      </w:pPr>
      <w:r>
        <w:t xml:space="preserve">Cohen, P. J. (1963). The independence of the continuum hypothesis.</w:t>
      </w:r>
      <w:r>
        <w:t xml:space="preserve"> </w:t>
      </w:r>
      <w:r>
        <w:rPr>
          <w:iCs/>
          <w:i/>
        </w:rPr>
        <w:t xml:space="preserve">Proceedings of the National Academy of Sciences</w:t>
      </w:r>
      <w:r>
        <w:t xml:space="preserve">, 50(6), 1143–1148.</w:t>
      </w:r>
    </w:p>
    <w:p>
      <w:pPr>
        <w:pStyle w:val="BodyText"/>
      </w:pPr>
      <w:r>
        <w:t xml:space="preserve">Hamilton, W. R. (1844). On quaternions, or on a new system of imaginaries in algebra.</w:t>
      </w:r>
      <w:r>
        <w:t xml:space="preserve"> </w:t>
      </w:r>
      <w:r>
        <w:rPr>
          <w:iCs/>
          <w:i/>
        </w:rPr>
        <w:t xml:space="preserve">Philosophical Magazine</w:t>
      </w:r>
      <w:r>
        <w:t xml:space="preserve">, 25(3), 489–495.</w:t>
      </w:r>
    </w:p>
    <w:p>
      <w:pPr>
        <w:pStyle w:val="BodyText"/>
      </w:pPr>
      <w:r>
        <w:t xml:space="preserve">Hankel, H. (1867).</w:t>
      </w:r>
      <w:r>
        <w:t xml:space="preserve"> </w:t>
      </w:r>
      <w:r>
        <w:rPr>
          <w:iCs/>
          <w:i/>
        </w:rPr>
        <w:t xml:space="preserve">Theorie der complexen Zahlensysteme</w:t>
      </w:r>
      <w:r>
        <w:t xml:space="preserve">. Leopold Voss.</w:t>
      </w:r>
    </w:p>
    <w:p>
      <w:pPr>
        <w:pStyle w:val="BodyText"/>
      </w:pPr>
      <w:r>
        <w:t xml:space="preserve">Hofstadter, D. R. (1979).</w:t>
      </w:r>
      <w:r>
        <w:t xml:space="preserve"> </w:t>
      </w:r>
      <w:r>
        <w:rPr>
          <w:iCs/>
          <w:i/>
        </w:rPr>
        <w:t xml:space="preserve">Gödel, Escher, Bach: An eternal golden braid</w:t>
      </w:r>
      <w:r>
        <w:t xml:space="preserve">. Basic Books.</w:t>
      </w:r>
    </w:p>
    <w:p>
      <w:pPr>
        <w:pStyle w:val="BodyText"/>
      </w:pPr>
      <w:r>
        <w:t xml:space="preserve">Hurwitz, A. (1898). Über die Composition der quadratischen Formen von beliebig vielen Variabeln.</w:t>
      </w:r>
      <w:r>
        <w:t xml:space="preserve"> </w:t>
      </w:r>
      <w:r>
        <w:rPr>
          <w:iCs/>
          <w:i/>
        </w:rPr>
        <w:t xml:space="preserve">Nachrichten von der Königlichen Gesellschaft der Wissenschaften zu Göttingen, Mathematisch-Physikalische Klasse</w:t>
      </w:r>
      <w:r>
        <w:t xml:space="preserve">, 309–316.</w:t>
      </w:r>
    </w:p>
    <w:p>
      <w:pPr>
        <w:pStyle w:val="BodyText"/>
      </w:pPr>
      <w:r>
        <w:t xml:space="preserve">Lawvere, F. W. (1963).</w:t>
      </w:r>
      <w:r>
        <w:t xml:space="preserve"> </w:t>
      </w:r>
      <w:r>
        <w:rPr>
          <w:iCs/>
          <w:i/>
        </w:rPr>
        <w:t xml:space="preserve">Functorial semantics of algebraic theories</w:t>
      </w:r>
      <w:r>
        <w:t xml:space="preserve">. Doctoral dissertation, Columbia University. [Reprinted in</w:t>
      </w:r>
      <w:r>
        <w:t xml:space="preserve"> </w:t>
      </w:r>
      <w:r>
        <w:rPr>
          <w:iCs/>
          <w:i/>
        </w:rPr>
        <w:t xml:space="preserve">Reprints in Theory and Applications of Categories</w:t>
      </w:r>
      <w:r>
        <w:t xml:space="preserve">, 5 (2004), 1–121.]</w:t>
      </w:r>
    </w:p>
    <w:p>
      <w:pPr>
        <w:pStyle w:val="BodyText"/>
      </w:pPr>
      <w:r>
        <w:t xml:space="preserve">Noether, E. (1918). Invariante Variationsprobleme.</w:t>
      </w:r>
      <w:r>
        <w:t xml:space="preserve"> </w:t>
      </w:r>
      <w:r>
        <w:rPr>
          <w:iCs/>
          <w:i/>
        </w:rPr>
        <w:t xml:space="preserve">Nachrichten von der Gesellschaft der Wissenschaften zu Göttingen, Mathematisch-Physikalische Klasse</w:t>
      </w:r>
      <w:r>
        <w:t xml:space="preserve">, 235–257.</w:t>
      </w:r>
    </w:p>
    <w:p>
      <w:pPr>
        <w:pStyle w:val="BodyText"/>
      </w:pPr>
      <w:r>
        <w:t xml:space="preserve">Rice, H. G. (1953). Classes of recursively enumerable sets and their decision problems.</w:t>
      </w:r>
      <w:r>
        <w:t xml:space="preserve"> </w:t>
      </w:r>
      <w:r>
        <w:rPr>
          <w:iCs/>
          <w:i/>
        </w:rPr>
        <w:t xml:space="preserve">Transactions of the American Mathematical Society</w:t>
      </w:r>
      <w:r>
        <w:t xml:space="preserve">, 74(2), 358–366.</w:t>
      </w:r>
    </w:p>
    <w:p>
      <w:pPr>
        <w:pStyle w:val="BodyText"/>
      </w:pPr>
      <w:r>
        <w:t xml:space="preserve">Riehl, E. (2026). Synthetic perspectives on spaces and categories.</w:t>
      </w:r>
      <w:r>
        <w:t xml:space="preserve"> </w:t>
      </w:r>
      <w:r>
        <w:rPr>
          <w:iCs/>
          <w:i/>
        </w:rPr>
        <w:t xml:space="preserve">Proceedings of the International Congress of Mathematicians</w:t>
      </w:r>
      <w:r>
        <w:t xml:space="preserve">. https://emilyriehl.github.io/files/synthetic-ICM.pdf</w:t>
      </w:r>
    </w:p>
    <w:p>
      <w:pPr>
        <w:pStyle w:val="BodyText"/>
      </w:pPr>
      <w:r>
        <w:t xml:space="preserve">Spencer-Brown, G. (1969).</w:t>
      </w:r>
      <w:r>
        <w:t xml:space="preserve"> </w:t>
      </w:r>
      <w:r>
        <w:rPr>
          <w:iCs/>
          <w:i/>
        </w:rPr>
        <w:t xml:space="preserve">Laws of form</w:t>
      </w:r>
      <w:r>
        <w:t xml:space="preserve">. Allen and Unwin.</w:t>
      </w:r>
    </w:p>
    <w:p>
      <w:pPr>
        <w:pStyle w:val="BodyText"/>
      </w:pPr>
      <w:r>
        <w:t xml:space="preserve">Turing, A. M. (1936). On computable numbers, with an application to the Entscheidungsproblem.</w:t>
      </w:r>
      <w:r>
        <w:t xml:space="preserve"> </w:t>
      </w:r>
      <w:r>
        <w:rPr>
          <w:iCs/>
          <w:i/>
        </w:rPr>
        <w:t xml:space="preserve">Proceedings of the London Mathematical Society</w:t>
      </w:r>
      <w:r>
        <w:t xml:space="preserve">, 2(42), 230–265.</w:t>
      </w:r>
    </w:p>
    <w:p>
      <w:pPr>
        <w:pStyle w:val="BodyText"/>
      </w:pPr>
      <w:r>
        <w:t xml:space="preserve">Tymoczko, D. (2011).</w:t>
      </w:r>
      <w:r>
        <w:t xml:space="preserve"> </w:t>
      </w:r>
      <w:r>
        <w:rPr>
          <w:iCs/>
          <w:i/>
        </w:rPr>
        <w:t xml:space="preserve">A geometry of music: Harmony and counterpoint in the extended common practice</w:t>
      </w:r>
      <w:r>
        <w:t xml:space="preserve">. Oxford University Press.</w:t>
      </w:r>
    </w:p>
    <w:p>
      <w:pPr>
        <w:pStyle w:val="BodyText"/>
      </w:pPr>
      <w:r>
        <w:t xml:space="preserve">Wolfram, S. (2002).</w:t>
      </w:r>
      <w:r>
        <w:t xml:space="preserve"> </w:t>
      </w:r>
      <w:r>
        <w:rPr>
          <w:iCs/>
          <w:i/>
        </w:rPr>
        <w:t xml:space="preserve">A new kind of science</w:t>
      </w:r>
      <w:r>
        <w:t xml:space="preserve">. Wolfram Media.</w:t>
      </w:r>
    </w:p>
    <w:p>
      <w:pPr>
        <w:pStyle w:val="BodyText"/>
      </w:pPr>
      <w:r>
        <w:t xml:space="preserve">Wolfram, S. (2020).</w:t>
      </w:r>
      <w:r>
        <w:t xml:space="preserve"> </w:t>
      </w:r>
      <w:r>
        <w:rPr>
          <w:iCs/>
          <w:i/>
        </w:rPr>
        <w:t xml:space="preserve">A project to find the fundamental theory of physics</w:t>
      </w:r>
      <w:r>
        <w:t xml:space="preserve">. Wolfram Media.</w:t>
      </w:r>
    </w:p>
    <w:p>
      <w:pPr>
        <w:pStyle w:val="BodyText"/>
      </w:pPr>
      <w:r>
        <w:t xml:space="preserve">Wilson, K. G. (1971). Renormalization group and critical phenomena I: Renormalization group and the Kadanoff scaling picture.</w:t>
      </w:r>
      <w:r>
        <w:t xml:space="preserve"> </w:t>
      </w:r>
      <w:r>
        <w:rPr>
          <w:iCs/>
          <w:i/>
        </w:rPr>
        <w:t xml:space="preserve">Physical Review B</w:t>
      </w:r>
      <w:r>
        <w:t xml:space="preserve">, 4(9), 3174–3183.</w:t>
      </w:r>
    </w:p>
    <w:p>
      <w:pPr>
        <w:pStyle w:val="BodyText"/>
      </w:pPr>
      <w:r>
        <w:t xml:space="preserve">Wilson, K. G. (1975). The renormalization group: Critical phenomena and the Kondo problem.</w:t>
      </w:r>
      <w:r>
        <w:t xml:space="preserve"> </w:t>
      </w:r>
      <w:r>
        <w:rPr>
          <w:iCs/>
          <w:i/>
        </w:rPr>
        <w:t xml:space="preserve">Reviews of Modern Physics</w:t>
      </w:r>
      <w:r>
        <w:t xml:space="preserve">, 47(4), 773–840.</w:t>
      </w:r>
    </w:p>
    <w:p>
      <w:pPr>
        <w:pStyle w:val="BodyText"/>
      </w:pPr>
      <w:r>
        <w:t xml:space="preserve">Zurek, W. H. (1981). Pointer basis of quantum apparatus: Into what mixture does the wave packet collapse?</w:t>
      </w:r>
      <w:r>
        <w:t xml:space="preserve"> </w:t>
      </w:r>
      <w:r>
        <w:rPr>
          <w:iCs/>
          <w:i/>
        </w:rPr>
        <w:t xml:space="preserve">Physical Review D</w:t>
      </w:r>
      <w:r>
        <w:t xml:space="preserve">, 24(6), 1516–1525.</w:t>
      </w:r>
    </w:p>
    <w:p>
      <w:pPr>
        <w:pStyle w:val="BodyText"/>
      </w:pPr>
      <w:r>
        <w:t xml:space="preserve">Zurek, W. H. (2003). Decoherence, einselection, and the quantum origins of the classical.</w:t>
      </w:r>
      <w:r>
        <w:t xml:space="preserve"> </w:t>
      </w:r>
      <w:r>
        <w:rPr>
          <w:iCs/>
          <w:i/>
        </w:rPr>
        <w:t xml:space="preserve">Reviews of Modern Physics</w:t>
      </w:r>
      <w:r>
        <w:t xml:space="preserve">, 75(3), 715–775.</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Distinction Operation and the Generative Floor: Asymmetry, Incompleteness, and the Structural Unity of Domain Kernels</dc:title>
  <dc:creator>Chris Brink</dc:creator>
  <cp:keywords/>
  <dcterms:created xsi:type="dcterms:W3CDTF">2026-04-20T02:11:30Z</dcterms:created>
  <dcterms:modified xsi:type="dcterms:W3CDTF">2026-04-20T02:11:30Z</dcterms:modified>
</cp:coreProperties>
</file>

<file path=docProps/custom.xml><?xml version="1.0" encoding="utf-8"?>
<Properties xmlns="http://schemas.openxmlformats.org/officeDocument/2006/custom-properties" xmlns:vt="http://schemas.openxmlformats.org/officeDocument/2006/docPropsVTypes"/>
</file>