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9rekmuc4vis9" w:id="0"/>
      <w:bookmarkEnd w:id="0"/>
      <w:r w:rsidDel="00000000" w:rsidR="00000000" w:rsidRPr="00000000">
        <w:rPr>
          <w:b w:val="1"/>
          <w:rtl w:val="0"/>
        </w:rPr>
        <w:t xml:space="preserve">Investigación de OTT / AVANCE</w:t>
        <w:tab/>
      </w:r>
    </w:p>
    <w:p w:rsidR="00000000" w:rsidDel="00000000" w:rsidP="00000000" w:rsidRDefault="00000000" w:rsidRPr="00000000">
      <w:pPr>
        <w:pStyle w:val="Subtitle"/>
        <w:contextualSpacing w:val="0"/>
      </w:pPr>
      <w:bookmarkStart w:colFirst="0" w:colLast="0" w:name="_7e83ykbikiya" w:id="1"/>
      <w:bookmarkEnd w:id="1"/>
      <w:r w:rsidDel="00000000" w:rsidR="00000000" w:rsidRPr="00000000">
        <w:rPr>
          <w:color w:val="000000"/>
          <w:sz w:val="24"/>
          <w:szCs w:val="24"/>
          <w:rtl w:val="0"/>
        </w:rPr>
        <w:t xml:space="preserve">Alonso Aguayo, Arturo, </w:t>
      </w:r>
    </w:p>
    <w:p w:rsidR="00000000" w:rsidDel="00000000" w:rsidP="00000000" w:rsidRDefault="00000000" w:rsidRPr="00000000">
      <w:pPr>
        <w:pStyle w:val="Subtitle"/>
        <w:contextualSpacing w:val="0"/>
      </w:pPr>
      <w:bookmarkStart w:colFirst="0" w:colLast="0" w:name="_pkb3a1ncvyf6" w:id="2"/>
      <w:bookmarkEnd w:id="2"/>
      <w:r w:rsidDel="00000000" w:rsidR="00000000" w:rsidRPr="00000000">
        <w:rPr>
          <w:color w:val="000000"/>
          <w:sz w:val="24"/>
          <w:szCs w:val="24"/>
          <w:rtl w:val="0"/>
        </w:rPr>
        <w:t xml:space="preserve">Ramírez Sánchez Bernardo</w:t>
      </w:r>
      <w:r w:rsidDel="00000000" w:rsidR="00000000" w:rsidRPr="00000000">
        <w:rPr>
          <w:rtl w:val="0"/>
        </w:rPr>
      </w:r>
    </w:p>
    <w:p w:rsidR="00000000" w:rsidDel="00000000" w:rsidP="00000000" w:rsidRDefault="00000000" w:rsidRPr="00000000">
      <w:pPr>
        <w:spacing w:before="0" w:line="218.18181818181816" w:lineRule="auto"/>
        <w:contextualSpacing w:val="0"/>
        <w:jc w:val="center"/>
      </w:pPr>
      <w:r w:rsidDel="00000000" w:rsidR="00000000" w:rsidRPr="00000000">
        <w:rPr>
          <w:rFonts w:ascii="Economica" w:cs="Economica" w:eastAsia="Economica" w:hAnsi="Economica"/>
          <w:color w:val="666666"/>
          <w:sz w:val="20"/>
          <w:szCs w:val="20"/>
          <w:rtl w:val="0"/>
        </w:rPr>
        <w:t xml:space="preserve">Bases de datos avanzadas,</w:t>
      </w:r>
    </w:p>
    <w:p w:rsidR="00000000" w:rsidDel="00000000" w:rsidP="00000000" w:rsidRDefault="00000000" w:rsidRPr="00000000">
      <w:pPr>
        <w:spacing w:after="120" w:before="0" w:line="218.18181818181816" w:lineRule="auto"/>
        <w:contextualSpacing w:val="0"/>
        <w:jc w:val="center"/>
      </w:pPr>
      <w:r w:rsidDel="00000000" w:rsidR="00000000" w:rsidRPr="00000000">
        <w:rPr>
          <w:rFonts w:ascii="Economica" w:cs="Economica" w:eastAsia="Economica" w:hAnsi="Economica"/>
          <w:color w:val="666666"/>
          <w:sz w:val="20"/>
          <w:szCs w:val="20"/>
          <w:rtl w:val="0"/>
        </w:rPr>
        <w:t xml:space="preserve">Tecnológico de Monterrey, Campus Cuernavaca</w:t>
      </w:r>
    </w:p>
    <w:p w:rsidR="00000000" w:rsidDel="00000000" w:rsidP="00000000" w:rsidRDefault="00000000" w:rsidRPr="00000000">
      <w:pPr>
        <w:spacing w:after="120" w:before="0" w:line="218.18181818181816" w:lineRule="auto"/>
        <w:contextualSpacing w:val="0"/>
        <w:jc w:val="center"/>
      </w:pPr>
      <w:hyperlink r:id="rId5">
        <w:r w:rsidDel="00000000" w:rsidR="00000000" w:rsidRPr="00000000">
          <w:rPr>
            <w:rFonts w:ascii="Economica" w:cs="Economica" w:eastAsia="Economica" w:hAnsi="Economica"/>
            <w:color w:val="1155cc"/>
            <w:sz w:val="20"/>
            <w:szCs w:val="20"/>
            <w:u w:val="single"/>
            <w:rtl w:val="0"/>
          </w:rPr>
          <w:t xml:space="preserve">a01422440@itesm.mx</w:t>
        </w:r>
      </w:hyperlink>
      <w:r w:rsidDel="00000000" w:rsidR="00000000" w:rsidRPr="00000000">
        <w:rPr>
          <w:rFonts w:ascii="Economica" w:cs="Economica" w:eastAsia="Economica" w:hAnsi="Economica"/>
          <w:color w:val="666666"/>
          <w:sz w:val="20"/>
          <w:szCs w:val="20"/>
          <w:rtl w:val="0"/>
        </w:rPr>
        <w:t xml:space="preserve">, </w:t>
      </w:r>
      <w:hyperlink r:id="rId6">
        <w:r w:rsidDel="00000000" w:rsidR="00000000" w:rsidRPr="00000000">
          <w:rPr>
            <w:rFonts w:ascii="Economica" w:cs="Economica" w:eastAsia="Economica" w:hAnsi="Economica"/>
            <w:color w:val="1155cc"/>
            <w:sz w:val="20"/>
            <w:szCs w:val="20"/>
            <w:u w:val="single"/>
            <w:rtl w:val="0"/>
          </w:rPr>
          <w:t xml:space="preserve">a01420275@itesm.mx</w:t>
        </w:r>
      </w:hyperlink>
      <w:r w:rsidDel="00000000" w:rsidR="00000000" w:rsidRPr="00000000">
        <w:rPr>
          <w:rFonts w:ascii="Economica" w:cs="Economica" w:eastAsia="Economica" w:hAnsi="Economica"/>
          <w:color w:val="666666"/>
          <w:sz w:val="20"/>
          <w:szCs w:val="20"/>
          <w:rtl w:val="0"/>
        </w:rPr>
        <w:t xml:space="preserve"> </w:t>
      </w:r>
    </w:p>
    <w:p w:rsidR="00000000" w:rsidDel="00000000" w:rsidP="00000000" w:rsidRDefault="00000000" w:rsidRPr="00000000">
      <w:pPr>
        <w:spacing w:after="0" w:before="60" w:lineRule="auto"/>
        <w:contextualSpacing w:val="0"/>
      </w:pPr>
      <w:r w:rsidDel="00000000" w:rsidR="00000000" w:rsidRPr="00000000">
        <w:drawing>
          <wp:inline distB="114300" distT="114300" distL="114300" distR="114300">
            <wp:extent cx="5943600" cy="38100"/>
            <wp:effectExtent b="0" l="0" r="0" t="0"/>
            <wp:docPr id="2" name="image06.png" title="horizontal line"/>
            <a:graphic>
              <a:graphicData uri="http://schemas.openxmlformats.org/drawingml/2006/picture">
                <pic:pic>
                  <pic:nvPicPr>
                    <pic:cNvPr id="0" name="image06.png" title="horizontal line"/>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120" w:lineRule="auto"/>
        <w:contextualSpacing w:val="0"/>
      </w:pPr>
      <w:bookmarkStart w:colFirst="0" w:colLast="0" w:name="_j76numumtoqv" w:id="3"/>
      <w:bookmarkEnd w:id="3"/>
      <w:r w:rsidDel="00000000" w:rsidR="00000000" w:rsidRPr="00000000">
        <w:drawing>
          <wp:inline distB="114300" distT="114300" distL="114300" distR="114300">
            <wp:extent cx="5943600" cy="3429000"/>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vrvyr4crbtdy" w:id="4"/>
      <w:bookmarkEnd w:id="4"/>
      <w:r w:rsidDel="00000000" w:rsidR="00000000" w:rsidRPr="00000000">
        <w:rPr>
          <w:rtl w:val="0"/>
        </w:rPr>
        <w:t xml:space="preserve">Abstract</w:t>
      </w:r>
    </w:p>
    <w:p w:rsidR="00000000" w:rsidDel="00000000" w:rsidP="00000000" w:rsidRDefault="00000000" w:rsidRPr="00000000">
      <w:pPr>
        <w:contextualSpacing w:val="0"/>
        <w:jc w:val="both"/>
      </w:pPr>
      <w:r w:rsidDel="00000000" w:rsidR="00000000" w:rsidRPr="00000000">
        <w:rPr>
          <w:rtl w:val="0"/>
        </w:rPr>
        <w:t xml:space="preserve">In this document we will expose how OTTs work, to achieve a better understanding of its organizational structure, data management, and administrative management. All this with the goal of being able to simulate an application to administrate this offices and facilitate the search for different technological offers.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rolcxe0i15c" w:id="5"/>
      <w:bookmarkEnd w:id="5"/>
      <w:r w:rsidDel="00000000" w:rsidR="00000000" w:rsidRPr="00000000">
        <w:rPr>
          <w:rtl w:val="0"/>
        </w:rPr>
        <w:t xml:space="preserve">1.Introdución </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Las Oficinas de Transferencia de Tecnología (OTT) se han creado para promover la creación de grupos y oficinas que permitan la generación de innovaciones generadas en las diferentes instituciones del país, además de ayudar en el licenciamiento y comercialización de nuevas tecnologías y negocios.</w:t>
      </w:r>
      <w:r w:rsidDel="00000000" w:rsidR="00000000" w:rsidRPr="00000000">
        <w:rPr>
          <w:rtl w:val="0"/>
        </w:rPr>
      </w:r>
    </w:p>
    <w:p w:rsidR="00000000" w:rsidDel="00000000" w:rsidP="00000000" w:rsidRDefault="00000000" w:rsidRPr="00000000">
      <w:pPr>
        <w:pStyle w:val="Heading1"/>
        <w:contextualSpacing w:val="0"/>
      </w:pPr>
      <w:bookmarkStart w:colFirst="0" w:colLast="0" w:name="_la5jp5tnimjw" w:id="6"/>
      <w:bookmarkEnd w:id="6"/>
      <w:r w:rsidDel="00000000" w:rsidR="00000000" w:rsidRPr="00000000">
        <w:rPr>
          <w:rtl w:val="0"/>
        </w:rPr>
        <w:t xml:space="preserve">2. Contenido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objetivo del subprograma AVANCE, es fomentar el diseño, integración y ejecución de las OTT para que así faciliten la comercialización y transferencia de las tecnologías desarrolladas por las instituciones y se logre contribuir a oportunidades de negocio identificando posibles inversionistas.</w:t>
      </w:r>
    </w:p>
    <w:p w:rsidR="00000000" w:rsidDel="00000000" w:rsidP="00000000" w:rsidRDefault="00000000" w:rsidRPr="00000000">
      <w:pPr>
        <w:contextualSpacing w:val="0"/>
      </w:pPr>
      <w:r w:rsidDel="00000000" w:rsidR="00000000" w:rsidRPr="00000000">
        <w:rPr>
          <w:b w:val="1"/>
          <w:rtl w:val="0"/>
        </w:rPr>
        <w:t xml:space="preserve">Beneficios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Desarrollar proyectos académicos y así crear vínculos entre CONACYT y OTT para el desarrollo de actividades económicas de alto valor agregado.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Interrelación de emprendedores, empresas, mercado e inversionistas.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Aprovechamiento y explotación de los descubrimientos científicos y tecnológicos.</w:t>
      </w:r>
    </w:p>
    <w:p w:rsidR="00000000" w:rsidDel="00000000" w:rsidP="00000000" w:rsidRDefault="00000000" w:rsidRPr="00000000">
      <w:pPr>
        <w:ind w:left="0" w:firstLine="0"/>
        <w:contextualSpacing w:val="0"/>
      </w:pPr>
      <w:r w:rsidDel="00000000" w:rsidR="00000000" w:rsidRPr="00000000">
        <w:rPr>
          <w:rtl w:val="0"/>
        </w:rPr>
        <w:t xml:space="preserve">Dentro del subprograma AVANCE, existen algunos rubros de apoyo que se derivan de la convocatoria para destinar recursos a algunas áreas como: asistencia legal inicial;  transición de los modelos exitosos para la comercialización, transferencia y licenciamiento; honorarios de consultores especializados para la etapa de integración; gastos de movilidad para viajes y viáticos en relación con los modelos mencionados anteriormente. </w:t>
      </w:r>
    </w:p>
    <w:p w:rsidR="00000000" w:rsidDel="00000000" w:rsidP="00000000" w:rsidRDefault="00000000" w:rsidRPr="00000000">
      <w:pPr>
        <w:ind w:left="0" w:firstLine="0"/>
        <w:contextualSpacing w:val="0"/>
      </w:pPr>
      <w:r w:rsidDel="00000000" w:rsidR="00000000" w:rsidRPr="00000000">
        <w:rPr>
          <w:rtl w:val="0"/>
        </w:rPr>
        <w:t xml:space="preserve">En México existen varias problemáticas que impiden la transferencia de tecnologías, sin embargo existe una gran necesidad de promover la creación y transferencia de conocimiento tecnológico debido a que es reconocido por las empresas la importancia de la innovación y la tecnología para el desarrollo económico y mejora competitiva del país. Algunos de los impedimentos en México para el libre y pleno uso de las OTT son: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 poca cultura de patentamiento del conocimiento tecnológico.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Baja demanda de conocimiento y tecnologías.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Falta de comunicación entre universidades y empresas.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existe un modelo de transferenci de tecnologías efectivo, reflejado en regalías y remuneración por licenciamiento.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Baja interacción y comunicación entre los actores de la investigación y desarrollo e innovación.</w:t>
      </w:r>
    </w:p>
    <w:p w:rsidR="00000000" w:rsidDel="00000000" w:rsidP="00000000" w:rsidRDefault="00000000" w:rsidRPr="00000000">
      <w:pPr>
        <w:pStyle w:val="Heading1"/>
        <w:contextualSpacing w:val="0"/>
      </w:pPr>
      <w:bookmarkStart w:colFirst="0" w:colLast="0" w:name="_nue4c4wjnh2u" w:id="7"/>
      <w:bookmarkEnd w:id="7"/>
      <w:r w:rsidDel="00000000" w:rsidR="00000000" w:rsidRPr="00000000">
        <w:rPr>
          <w:rtl w:val="0"/>
        </w:rPr>
        <w:t xml:space="preserve">3. Referencias</w:t>
      </w:r>
    </w:p>
    <w:p w:rsidR="00000000" w:rsidDel="00000000" w:rsidP="00000000" w:rsidRDefault="00000000" w:rsidRPr="00000000">
      <w:pPr>
        <w:contextualSpacing w:val="0"/>
      </w:pPr>
      <w:r w:rsidDel="00000000" w:rsidR="00000000" w:rsidRPr="00000000">
        <w:rPr>
          <w:rtl w:val="0"/>
        </w:rPr>
        <w:t xml:space="preserve">CONACYT. (n.d.). OTT, Oficinas de Transferencia de Tecnología / AVANCE. Retrieved August 30, 2016, from </w:t>
      </w:r>
      <w:hyperlink r:id="rId9">
        <w:r w:rsidDel="00000000" w:rsidR="00000000" w:rsidRPr="00000000">
          <w:rPr>
            <w:color w:val="1155cc"/>
            <w:u w:val="single"/>
            <w:rtl w:val="0"/>
          </w:rPr>
          <w:t xml:space="preserve">http://conacyt.gob.mx/index.php/ott-oficina-de-transferencia-de-tecnologia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INOVAR PARA CRECER.(n.d.). Que es una Oficina de Transferencia Tecnológica. Retrived August 30, 2016, from </w:t>
      </w:r>
      <w:hyperlink r:id="rId10">
        <w:r w:rsidDel="00000000" w:rsidR="00000000" w:rsidRPr="00000000">
          <w:rPr>
            <w:color w:val="1155cc"/>
            <w:u w:val="single"/>
            <w:rtl w:val="0"/>
          </w:rPr>
          <w:t xml:space="preserve">http://pprdportales.ruv.itesm.mx/web/innovar-para-crecer/inicio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1" w:type="default"/>
      <w:headerReference r:id="rId12" w:type="first"/>
      <w:footerReference r:id="rId13" w:type="first"/>
      <w:footerReference r:id="rId14"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5400"/>
          <wp:effectExtent b="0" l="0" r="0" t="0"/>
          <wp:docPr id="1" name="image05.png" title="horizontal line"/>
          <a:graphic>
            <a:graphicData uri="http://schemas.openxmlformats.org/drawingml/2006/picture">
              <pic:pic>
                <pic:nvPicPr>
                  <pic:cNvPr id="0" name="image05.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25400"/>
          <wp:effectExtent b="0" l="0" r="0" t="0"/>
          <wp:docPr id="3" name="image07.png" title="horizontal line"/>
          <a:graphic>
            <a:graphicData uri="http://schemas.openxmlformats.org/drawingml/2006/picture">
              <pic:pic>
                <pic:nvPicPr>
                  <pic:cNvPr id="0" name="image07.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pPr>
    <w:bookmarkStart w:colFirst="0" w:colLast="0" w:name="_w494w0yg8rg0" w:id="9"/>
    <w:bookmarkEnd w:id="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_leajue2ys1lr" w:id="8"/>
    <w:bookmarkEnd w:id="8"/>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4" name="image08.png" title="horizontal line"/>
          <a:graphic>
            <a:graphicData uri="http://schemas.openxmlformats.org/drawingml/2006/picture">
              <pic:pic>
                <pic:nvPicPr>
                  <pic:cNvPr id="0" name="image08.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pprdportales.ruv.itesm.mx/web/innovar-para-crecer/inicio"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onacyt.gob.mx/index.php/ott-oficina-de-transferencia-de-tecnologia" TargetMode="External"/><Relationship Id="rId14" Type="http://schemas.openxmlformats.org/officeDocument/2006/relationships/footer" Target="footer1.xml"/><Relationship Id="rId5" Type="http://schemas.openxmlformats.org/officeDocument/2006/relationships/hyperlink" Target="mailto:a01422440@itesm.mx" TargetMode="External"/><Relationship Id="rId6" Type="http://schemas.openxmlformats.org/officeDocument/2006/relationships/hyperlink" Target="mailto:a01420275@itesm.mx" TargetMode="External"/><Relationship Id="rId7" Type="http://schemas.openxmlformats.org/officeDocument/2006/relationships/image" Target="media/image06.png"/><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

<file path=word/_rels/footer2.xml.rels><?xml version="1.0" encoding="UTF-8" standalone="yes"?><Relationships xmlns="http://schemas.openxmlformats.org/package/2006/relationships"><Relationship Id="rId1" Type="http://schemas.openxmlformats.org/officeDocument/2006/relationships/image" Target="media/image07.png"/></Relationships>
</file>

<file path=word/_rels/header1.xml.rels><?xml version="1.0" encoding="UTF-8" standalone="yes"?><Relationships xmlns="http://schemas.openxmlformats.org/package/2006/relationships"><Relationship Id="rId1" Type="http://schemas.openxmlformats.org/officeDocument/2006/relationships/image" Target="media/image08.png"/></Relationships>
</file>