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sz w:val="22"/>
          <w:szCs w:val="22"/>
        </w:rPr>
        <w:t xml:space="preserve">January 23, 2026</w:t>
      </w:r>
    </w:p>
    <w:p>
      <w:r>
        <w:rPr>
          <w:b/>
          <w:bCs/>
          <w:sz w:val="26"/>
          <w:szCs w:val="26"/>
        </w:rPr>
        <w:t xml:space="preserve">David Gillotte</w:t>
      </w:r>
    </w:p>
    <w:p>
      <w:r>
        <w:rPr>
          <w:sz w:val="22"/>
          <w:szCs w:val="22"/>
        </w:rPr>
        <w:t xml:space="preserve">President, IAFF Local 1014</w:t>
      </w:r>
    </w:p>
    <w:p>
      <w:r>
        <w:rPr>
          <w:sz w:val="22"/>
          <w:szCs w:val="22"/>
        </w:rPr>
        <w:t xml:space="preserve">Los Angeles County Fire Fighters</w:t>
      </w:r>
    </w:p>
    <w:p>
      <w:pPr>
        <w:spacing w:after="400"/>
      </w:pPr>
      <w:r>
        <w:rPr>
          <w:sz w:val="22"/>
          <w:szCs w:val="22"/>
        </w:rPr>
        <w:t xml:space="preserve">Los Angeles, California</w:t>
      </w:r>
    </w:p>
    <w:p>
      <w:pPr>
        <w:spacing w:after="300"/>
      </w:pPr>
      <w:r>
        <w:rPr>
          <w:b/>
          <w:bCs/>
          <w:sz w:val="22"/>
          <w:szCs w:val="22"/>
        </w:rPr>
        <w:t xml:space="preserve">RE: </w:t>
      </w:r>
      <w:r>
        <w:rPr>
          <w:b/>
          <w:bCs/>
          <w:sz w:val="22"/>
          <w:szCs w:val="22"/>
        </w:rPr>
        <w:t xml:space="preserve">Los Angeles County Fire Department Funding Analysis</w:t>
      </w:r>
    </w:p>
    <w:p>
      <w:pPr>
        <w:spacing w:after="200"/>
      </w:pPr>
      <w:r>
        <w:rPr>
          <w:sz w:val="22"/>
          <w:szCs w:val="22"/>
        </w:rPr>
        <w:t xml:space="preserve">President Gillotte,</w:t>
      </w:r>
    </w:p>
    <w:p>
      <w:pPr>
        <w:spacing w:after="200"/>
      </w:pPr>
      <w:r>
        <w:rPr>
          <w:sz w:val="22"/>
          <w:szCs w:val="22"/>
        </w:rPr>
        <w:t xml:space="preserve">This report provides a comprehensive analysis of Los Angeles County Fire Department funding based on official financial data from the California State Controller's Office. The data spans fiscal years 2019-20 through 2024-25 and includes peer county comparisons.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EBEE" w:val="clear"/>
          </w:tcPr>
          <w:p>
            <w:pPr>
              <w:spacing w:before="150"/>
            </w:pPr>
            <w:r>
              <w:rPr>
                <w:b/>
                <w:bCs/>
                <w:color w:val="B71C1C"/>
                <w:sz w:val="28"/>
                <w:szCs w:val="28"/>
              </w:rPr>
              <w:t xml:space="preserve">EXECUTIVE SUMMARY</w:t>
            </w:r>
          </w:p>
          <w:p>
            <w:pPr>
              <w:pStyle w:val="ListParagraph"/>
              <w:numPr>
                <w:ilvl w:val="0"/>
                <w:numId w:val="2"/>
              </w:numPr>
            </w:pPr>
            <w:r>
              <w:rPr>
                <w:b/>
                <w:bCs/>
                <w:sz w:val="22"/>
                <w:szCs w:val="22"/>
              </w:rPr>
              <w:t xml:space="preserve">FY 2024-25 Fire Budget: </w:t>
            </w:r>
            <w:r>
              <w:rPr>
                <w:sz w:val="22"/>
                <w:szCs w:val="22"/>
              </w:rPr>
              <w:t xml:space="preserve">$1.54B</w:t>
            </w:r>
          </w:p>
          <w:p>
            <w:pPr>
              <w:pStyle w:val="ListParagraph"/>
              <w:numPr>
                <w:ilvl w:val="0"/>
                <w:numId w:val="2"/>
              </w:numPr>
            </w:pPr>
            <w:r>
              <w:rPr>
                <w:b/>
                <w:bCs/>
                <w:sz w:val="22"/>
                <w:szCs w:val="22"/>
              </w:rPr>
              <w:t xml:space="preserve">5-Year Growth (FY20 to FY25): </w:t>
            </w:r>
            <w:r>
              <w:rPr>
                <w:sz w:val="22"/>
                <w:szCs w:val="22"/>
              </w:rPr>
              <w:t xml:space="preserve">25.2%</w:t>
            </w:r>
          </w:p>
          <w:p>
            <w:pPr>
              <w:pStyle w:val="ListParagraph"/>
              <w:numPr>
                <w:ilvl w:val="0"/>
                <w:numId w:val="2"/>
              </w:numPr>
            </w:pPr>
            <w:r>
              <w:rPr>
                <w:b/>
                <w:bCs/>
                <w:sz w:val="22"/>
                <w:szCs w:val="22"/>
              </w:rPr>
              <w:t xml:space="preserve">FY 2024-25 Per Capita: </w:t>
            </w:r>
            <w:r>
              <w:rPr>
                <w:sz w:val="22"/>
                <w:szCs w:val="22"/>
              </w:rPr>
              <w:t xml:space="preserve">$156.32 per resident</w:t>
            </w:r>
          </w:p>
          <w:p>
            <w:pPr>
              <w:pStyle w:val="ListParagraph"/>
              <w:numPr>
                <w:ilvl w:val="0"/>
                <w:numId w:val="2"/>
              </w:numPr>
            </w:pPr>
            <w:r>
              <w:rPr>
                <w:b/>
                <w:bCs/>
                <w:sz w:val="22"/>
                <w:szCs w:val="22"/>
              </w:rPr>
              <w:t xml:space="preserve">County Population: </w:t>
            </w:r>
            <w:r>
              <w:rPr>
                <w:sz w:val="22"/>
                <w:szCs w:val="22"/>
              </w:rPr>
              <w:t xml:space="preserve">9,824,091 (2024 est.)</w:t>
            </w:r>
          </w:p>
          <w:p>
            <w:pPr>
              <w:pStyle w:val="ListParagraph"/>
              <w:numPr>
                <w:ilvl w:val="0"/>
                <w:numId w:val="2"/>
              </w:numPr>
              <w:spacing w:after="150"/>
            </w:pPr>
            <w:r>
              <w:rPr>
                <w:b/>
                <w:bCs/>
                <w:sz w:val="22"/>
                <w:szCs w:val="22"/>
              </w:rPr>
              <w:t xml:space="preserve">Ranking: </w:t>
            </w:r>
            <w:r>
              <w:rPr>
                <w:sz w:val="22"/>
                <w:szCs w:val="22"/>
              </w:rPr>
              <w:t xml:space="preserve">#1 largest county fire department budget in California</w:t>
            </w:r>
          </w:p>
        </w:tc>
      </w:tr>
    </w:tbl>
    <w:p>
      <w:r>
        <w:br w:type="page"/>
      </w:r>
    </w:p>
    <w:p>
      <w:pPr>
        <w:pStyle w:val="Title"/>
      </w:pPr>
      <w:r>
        <w:rPr>
          <w:color w:val="B71C1C"/>
        </w:rPr>
        <w:t xml:space="preserve">LA County Fire Department</w:t>
      </w:r>
    </w:p>
    <w:p>
      <w:pPr>
        <w:pStyle w:val="Title"/>
        <w:spacing w:after="300"/>
      </w:pPr>
      <w:r>
        <w:rPr>
          <w:color w:val="B71C1C"/>
        </w:rPr>
        <w:t xml:space="preserve">Funding Analysis Report</w:t>
      </w:r>
    </w:p>
    <w:p>
      <w:pPr>
        <w:pStyle w:val="Heading1"/>
      </w:pPr>
      <w:r>
        <w:t xml:space="preserve">Fire Protection Expenditures (FY 2019-2025)</w:t>
      </w:r>
    </w:p>
    <w:p>
      <w:pPr>
        <w:spacing w:after="200"/>
      </w:pPr>
      <w:r>
        <w:t xml:space="preserve">Official expenditure data from California State Controller's County Financial Transactions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Borders>
              <w:top w:val="single" w:color="CCCCCC" w:sz="1"/>
              <w:left w:val="single" w:color="CCCCCC" w:sz="1"/>
              <w:bottom w:val="single" w:color="CCCCCC" w:sz="1"/>
              <w:right w:val="single" w:color="CCCCCC" w:sz="1"/>
            </w:tcBorders>
            <w:shd w:fill="B71C1C" w:val="clear"/>
          </w:tcPr>
          <w:p>
            <w:pPr>
              <w:jc w:val="left"/>
            </w:pPr>
            <w:r>
              <w:rPr>
                <w:b/>
                <w:bCs/>
                <w:color w:val="FFFFFF"/>
                <w:sz w:val="20"/>
                <w:szCs w:val="20"/>
              </w:rPr>
              <w:t xml:space="preserve">Fiscal Year</w:t>
            </w:r>
          </w:p>
        </w:tc>
        <w:tc>
          <w:tcPr>
            <w:tcBorders>
              <w:top w:val="single" w:color="CCCCCC" w:sz="1"/>
              <w:left w:val="single" w:color="CCCCCC" w:sz="1"/>
              <w:bottom w:val="single" w:color="CCCCCC" w:sz="1"/>
              <w:right w:val="single" w:color="CCCCCC" w:sz="1"/>
            </w:tcBorders>
            <w:shd w:fill="B71C1C" w:val="clear"/>
          </w:tcPr>
          <w:p>
            <w:pPr>
              <w:jc w:val="right"/>
            </w:pPr>
            <w:r>
              <w:rPr>
                <w:b/>
                <w:bCs/>
                <w:color w:val="FFFFFF"/>
                <w:sz w:val="20"/>
                <w:szCs w:val="20"/>
              </w:rPr>
              <w:t xml:space="preserve">Fire Expenditures</w:t>
            </w:r>
          </w:p>
        </w:tc>
        <w:tc>
          <w:tcPr>
            <w:tcBorders>
              <w:top w:val="single" w:color="CCCCCC" w:sz="1"/>
              <w:left w:val="single" w:color="CCCCCC" w:sz="1"/>
              <w:bottom w:val="single" w:color="CCCCCC" w:sz="1"/>
              <w:right w:val="single" w:color="CCCCCC" w:sz="1"/>
            </w:tcBorders>
            <w:shd w:fill="B71C1C" w:val="clear"/>
          </w:tcPr>
          <w:p>
            <w:pPr>
              <w:jc w:val="center"/>
            </w:pPr>
            <w:r>
              <w:rPr>
                <w:b/>
                <w:bCs/>
                <w:color w:val="FFFFFF"/>
                <w:sz w:val="20"/>
                <w:szCs w:val="20"/>
              </w:rPr>
              <w:t xml:space="preserve">YoY Change</w:t>
            </w:r>
          </w:p>
        </w:tc>
        <w:tc>
          <w:tcPr>
            <w:tcBorders>
              <w:top w:val="single" w:color="CCCCCC" w:sz="1"/>
              <w:left w:val="single" w:color="CCCCCC" w:sz="1"/>
              <w:bottom w:val="single" w:color="CCCCCC" w:sz="1"/>
              <w:right w:val="single" w:color="CCCCCC" w:sz="1"/>
            </w:tcBorders>
            <w:shd w:fill="B71C1C" w:val="clear"/>
          </w:tcPr>
          <w:p>
            <w:pPr>
              <w:jc w:val="right"/>
            </w:pPr>
            <w:r>
              <w:rPr>
                <w:b/>
                <w:bCs/>
                <w:color w:val="FFFFFF"/>
                <w:sz w:val="20"/>
                <w:szCs w:val="20"/>
              </w:rPr>
              <w:t xml:space="preserve">Per Capita</w:t>
            </w:r>
          </w:p>
        </w:tc>
      </w:tr>
      <w:tr>
        <w:tc>
          <w:tcPr>
            <w:tcBorders>
              <w:top w:val="single" w:color="CCCCCC" w:sz="1"/>
              <w:left w:val="single" w:color="CCCCCC" w:sz="1"/>
              <w:bottom w:val="single" w:color="CCCCCC" w:sz="1"/>
              <w:right w:val="single" w:color="CCCCCC" w:sz="1"/>
            </w:tcBorders>
            <w:shd w:fill="FFF3E0" w:val="clear"/>
          </w:tcPr>
          <w:p>
            <w:pPr>
              <w:jc w:val="left"/>
            </w:pPr>
            <w:r>
              <w:rPr>
                <w:b/>
                <w:bCs/>
                <w:color w:val="000000"/>
                <w:sz w:val="20"/>
                <w:szCs w:val="20"/>
              </w:rPr>
              <w:t xml:space="preserve">FY 2019-20</w:t>
            </w:r>
          </w:p>
        </w:tc>
        <w:tc>
          <w:tcPr>
            <w:tcBorders>
              <w:top w:val="single" w:color="CCCCCC" w:sz="1"/>
              <w:left w:val="single" w:color="CCCCCC" w:sz="1"/>
              <w:bottom w:val="single" w:color="CCCCCC" w:sz="1"/>
              <w:right w:val="single" w:color="CCCCCC" w:sz="1"/>
            </w:tcBorders>
            <w:shd w:fill="FFF3E0" w:val="clear"/>
          </w:tcPr>
          <w:p>
            <w:pPr>
              <w:jc w:val="right"/>
            </w:pPr>
            <w:r>
              <w:rPr>
                <w:color w:val="000000"/>
                <w:sz w:val="20"/>
                <w:szCs w:val="20"/>
              </w:rPr>
              <w:t xml:space="preserve">$1.23B</w:t>
            </w:r>
          </w:p>
        </w:tc>
        <w:tc>
          <w:tcPr>
            <w:tcBorders>
              <w:top w:val="single" w:color="CCCCCC" w:sz="1"/>
              <w:left w:val="single" w:color="CCCCCC" w:sz="1"/>
              <w:bottom w:val="single" w:color="CCCCCC" w:sz="1"/>
              <w:right w:val="single" w:color="CCCCCC" w:sz="1"/>
            </w:tcBorders>
            <w:shd w:fill="FFF3E0" w:val="clear"/>
          </w:tcPr>
          <w:p>
            <w:pPr>
              <w:jc w:val="center"/>
            </w:pPr>
            <w:r>
              <w:rPr>
                <w:color w:val="000000"/>
                <w:sz w:val="20"/>
                <w:szCs w:val="20"/>
              </w:rPr>
              <w:t xml:space="preserve">—</w:t>
            </w:r>
          </w:p>
        </w:tc>
        <w:tc>
          <w:tcPr>
            <w:tcBorders>
              <w:top w:val="single" w:color="CCCCCC" w:sz="1"/>
              <w:left w:val="single" w:color="CCCCCC" w:sz="1"/>
              <w:bottom w:val="single" w:color="CCCCCC" w:sz="1"/>
              <w:right w:val="single" w:color="CCCCCC" w:sz="1"/>
            </w:tcBorders>
            <w:shd w:fill="FFF3E0" w:val="clear"/>
          </w:tcPr>
          <w:p>
            <w:pPr>
              <w:jc w:val="right"/>
            </w:pPr>
            <w:r>
              <w:rPr>
                <w:color w:val="000000"/>
                <w:sz w:val="20"/>
                <w:szCs w:val="20"/>
              </w:rPr>
              <w:t xml:space="preserve">$119.66</w:t>
            </w:r>
          </w:p>
        </w:tc>
      </w:tr>
      <w:tr>
        <w:tc>
          <w:tcPr>
            <w:tcBorders>
              <w:top w:val="single" w:color="CCCCCC" w:sz="1"/>
              <w:left w:val="single" w:color="CCCCCC" w:sz="1"/>
              <w:bottom w:val="single" w:color="CCCCCC" w:sz="1"/>
              <w:right w:val="single" w:color="CCCCCC" w:sz="1"/>
            </w:tcBorders>
            <w:shd w:fill="FFFFFF" w:val="clear"/>
          </w:tcPr>
          <w:p>
            <w:pPr>
              <w:jc w:val="left"/>
            </w:pPr>
            <w:r>
              <w:rPr>
                <w:b/>
                <w:bCs/>
                <w:color w:val="000000"/>
                <w:sz w:val="20"/>
                <w:szCs w:val="20"/>
              </w:rPr>
              <w:t xml:space="preserve">FY 2020-21</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$1.25B</w:t>
            </w:r>
          </w:p>
        </w:tc>
        <w:tc>
          <w:tcPr>
            <w:tcBorders>
              <w:top w:val="single" w:color="CCCCCC" w:sz="1"/>
              <w:left w:val="single" w:color="CCCCCC" w:sz="1"/>
              <w:bottom w:val="single" w:color="CCCCCC" w:sz="1"/>
              <w:right w:val="single" w:color="CCCCCC" w:sz="1"/>
            </w:tcBorders>
            <w:shd w:fill="FFFFFF" w:val="clear"/>
          </w:tcPr>
          <w:p>
            <w:pPr>
              <w:jc w:val="center"/>
            </w:pPr>
            <w:r>
              <w:rPr>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$122.98</w:t>
            </w:r>
          </w:p>
        </w:tc>
      </w:tr>
      <w:tr>
        <w:tc>
          <w:tcPr>
            <w:tcBorders>
              <w:top w:val="single" w:color="CCCCCC" w:sz="1"/>
              <w:left w:val="single" w:color="CCCCCC" w:sz="1"/>
              <w:bottom w:val="single" w:color="CCCCCC" w:sz="1"/>
              <w:right w:val="single" w:color="CCCCCC" w:sz="1"/>
            </w:tcBorders>
            <w:shd w:fill="FFF3E0" w:val="clear"/>
          </w:tcPr>
          <w:p>
            <w:pPr>
              <w:jc w:val="left"/>
            </w:pPr>
            <w:r>
              <w:rPr>
                <w:b/>
                <w:bCs/>
                <w:color w:val="000000"/>
                <w:sz w:val="20"/>
                <w:szCs w:val="20"/>
              </w:rPr>
              <w:t xml:space="preserve">FY 2021-22</w:t>
            </w:r>
          </w:p>
        </w:tc>
        <w:tc>
          <w:tcPr>
            <w:tcBorders>
              <w:top w:val="single" w:color="CCCCCC" w:sz="1"/>
              <w:left w:val="single" w:color="CCCCCC" w:sz="1"/>
              <w:bottom w:val="single" w:color="CCCCCC" w:sz="1"/>
              <w:right w:val="single" w:color="CCCCCC" w:sz="1"/>
            </w:tcBorders>
            <w:shd w:fill="FFF3E0" w:val="clear"/>
          </w:tcPr>
          <w:p>
            <w:pPr>
              <w:jc w:val="right"/>
            </w:pPr>
            <w:r>
              <w:rPr>
                <w:color w:val="000000"/>
                <w:sz w:val="20"/>
                <w:szCs w:val="20"/>
              </w:rPr>
              <w:t xml:space="preserve">$1.33B</w:t>
            </w:r>
          </w:p>
        </w:tc>
        <w:tc>
          <w:tcPr>
            <w:tcBorders>
              <w:top w:val="single" w:color="CCCCCC" w:sz="1"/>
              <w:left w:val="single" w:color="CCCCCC" w:sz="1"/>
              <w:bottom w:val="single" w:color="CCCCCC" w:sz="1"/>
              <w:right w:val="single" w:color="CCCCCC" w:sz="1"/>
            </w:tcBorders>
            <w:shd w:fill="FFF3E0" w:val="clear"/>
          </w:tcPr>
          <w:p>
            <w:pPr>
              <w:jc w:val="center"/>
            </w:pPr>
            <w:r>
              <w:rPr>
                <w:color w:val="2E7D32"/>
                <w:sz w:val="20"/>
                <w:szCs w:val="20"/>
              </w:rPr>
              <w:t xml:space="preserve">+6.2%</w:t>
            </w:r>
          </w:p>
        </w:tc>
        <w:tc>
          <w:tcPr>
            <w:tcBorders>
              <w:top w:val="single" w:color="CCCCCC" w:sz="1"/>
              <w:left w:val="single" w:color="CCCCCC" w:sz="1"/>
              <w:bottom w:val="single" w:color="CCCCCC" w:sz="1"/>
              <w:right w:val="single" w:color="CCCCCC" w:sz="1"/>
            </w:tcBorders>
            <w:shd w:fill="FFF3E0" w:val="clear"/>
          </w:tcPr>
          <w:p>
            <w:pPr>
              <w:jc w:val="right"/>
            </w:pPr>
            <w:r>
              <w:rPr>
                <w:color w:val="000000"/>
                <w:sz w:val="20"/>
                <w:szCs w:val="20"/>
              </w:rPr>
              <w:t xml:space="preserve">$133.83</w:t>
            </w:r>
          </w:p>
        </w:tc>
      </w:tr>
      <w:tr>
        <w:tc>
          <w:tcPr>
            <w:tcBorders>
              <w:top w:val="single" w:color="CCCCCC" w:sz="1"/>
              <w:left w:val="single" w:color="CCCCCC" w:sz="1"/>
              <w:bottom w:val="single" w:color="CCCCCC" w:sz="1"/>
              <w:right w:val="single" w:color="CCCCCC" w:sz="1"/>
            </w:tcBorders>
            <w:shd w:fill="FFFFFF" w:val="clear"/>
          </w:tcPr>
          <w:p>
            <w:pPr>
              <w:jc w:val="left"/>
            </w:pPr>
            <w:r>
              <w:rPr>
                <w:b/>
                <w:bCs/>
                <w:color w:val="000000"/>
                <w:sz w:val="20"/>
                <w:szCs w:val="20"/>
              </w:rPr>
              <w:t xml:space="preserve">FY 2022-23</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$1.44B</w:t>
            </w:r>
          </w:p>
        </w:tc>
        <w:tc>
          <w:tcPr>
            <w:tcBorders>
              <w:top w:val="single" w:color="CCCCCC" w:sz="1"/>
              <w:left w:val="single" w:color="CCCCCC" w:sz="1"/>
              <w:bottom w:val="single" w:color="CCCCCC" w:sz="1"/>
              <w:right w:val="single" w:color="CCCCCC" w:sz="1"/>
            </w:tcBorders>
            <w:shd w:fill="FFFFFF" w:val="clear"/>
          </w:tcPr>
          <w:p>
            <w:pPr>
              <w:jc w:val="center"/>
            </w:pPr>
            <w:r>
              <w:rPr>
                <w:color w:val="2E7D32"/>
                <w:sz w:val="20"/>
                <w:szCs w:val="20"/>
              </w:rPr>
              <w:t xml:space="preserve">+8.6%</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$146.42</w:t>
            </w:r>
          </w:p>
        </w:tc>
      </w:tr>
      <w:tr>
        <w:tc>
          <w:tcPr>
            <w:tcBorders>
              <w:top w:val="single" w:color="CCCCCC" w:sz="1"/>
              <w:left w:val="single" w:color="CCCCCC" w:sz="1"/>
              <w:bottom w:val="single" w:color="CCCCCC" w:sz="1"/>
              <w:right w:val="single" w:color="CCCCCC" w:sz="1"/>
            </w:tcBorders>
            <w:shd w:fill="FFF3E0" w:val="clear"/>
          </w:tcPr>
          <w:p>
            <w:pPr>
              <w:jc w:val="left"/>
            </w:pPr>
            <w:r>
              <w:rPr>
                <w:b/>
                <w:bCs/>
                <w:color w:val="000000"/>
                <w:sz w:val="20"/>
                <w:szCs w:val="20"/>
              </w:rPr>
              <w:t xml:space="preserve">FY 2023-24</w:t>
            </w:r>
          </w:p>
        </w:tc>
        <w:tc>
          <w:tcPr>
            <w:tcBorders>
              <w:top w:val="single" w:color="CCCCCC" w:sz="1"/>
              <w:left w:val="single" w:color="CCCCCC" w:sz="1"/>
              <w:bottom w:val="single" w:color="CCCCCC" w:sz="1"/>
              <w:right w:val="single" w:color="CCCCCC" w:sz="1"/>
            </w:tcBorders>
            <w:shd w:fill="FFF3E0" w:val="clear"/>
          </w:tcPr>
          <w:p>
            <w:pPr>
              <w:jc w:val="right"/>
            </w:pPr>
            <w:r>
              <w:rPr>
                <w:color w:val="000000"/>
                <w:sz w:val="20"/>
                <w:szCs w:val="20"/>
              </w:rPr>
              <w:t xml:space="preserve">$1.50B</w:t>
            </w:r>
          </w:p>
        </w:tc>
        <w:tc>
          <w:tcPr>
            <w:tcBorders>
              <w:top w:val="single" w:color="CCCCCC" w:sz="1"/>
              <w:left w:val="single" w:color="CCCCCC" w:sz="1"/>
              <w:bottom w:val="single" w:color="CCCCCC" w:sz="1"/>
              <w:right w:val="single" w:color="CCCCCC" w:sz="1"/>
            </w:tcBorders>
            <w:shd w:fill="FFF3E0" w:val="clear"/>
          </w:tcPr>
          <w:p>
            <w:pPr>
              <w:jc w:val="center"/>
            </w:pPr>
            <w:r>
              <w:rPr>
                <w:color w:val="2E7D32"/>
                <w:sz w:val="20"/>
                <w:szCs w:val="20"/>
              </w:rPr>
              <w:t xml:space="preserve">+3.6%</w:t>
            </w:r>
          </w:p>
        </w:tc>
        <w:tc>
          <w:tcPr>
            <w:tcBorders>
              <w:top w:val="single" w:color="CCCCCC" w:sz="1"/>
              <w:left w:val="single" w:color="CCCCCC" w:sz="1"/>
              <w:bottom w:val="single" w:color="CCCCCC" w:sz="1"/>
              <w:right w:val="single" w:color="CCCCCC" w:sz="1"/>
            </w:tcBorders>
            <w:shd w:fill="FFF3E0" w:val="clear"/>
          </w:tcPr>
          <w:p>
            <w:pPr>
              <w:jc w:val="right"/>
            </w:pPr>
            <w:r>
              <w:rPr>
                <w:color w:val="000000"/>
                <w:sz w:val="20"/>
                <w:szCs w:val="20"/>
              </w:rPr>
              <w:t xml:space="preserve">$153.31</w:t>
            </w:r>
          </w:p>
        </w:tc>
      </w:tr>
      <w:tr>
        <w:tc>
          <w:tcPr>
            <w:tcBorders>
              <w:top w:val="single" w:color="CCCCCC" w:sz="1"/>
              <w:left w:val="single" w:color="CCCCCC" w:sz="1"/>
              <w:bottom w:val="single" w:color="CCCCCC" w:sz="1"/>
              <w:right w:val="single" w:color="CCCCCC" w:sz="1"/>
            </w:tcBorders>
            <w:shd w:fill="FFFFFF" w:val="clear"/>
          </w:tcPr>
          <w:p>
            <w:pPr>
              <w:jc w:val="left"/>
            </w:pPr>
            <w:r>
              <w:rPr>
                <w:b/>
                <w:bCs/>
                <w:color w:val="000000"/>
                <w:sz w:val="20"/>
                <w:szCs w:val="20"/>
              </w:rPr>
              <w:t xml:space="preserve">FY 2024-25</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$1.54B</w:t>
            </w:r>
          </w:p>
        </w:tc>
        <w:tc>
          <w:tcPr>
            <w:tcBorders>
              <w:top w:val="single" w:color="CCCCCC" w:sz="1"/>
              <w:left w:val="single" w:color="CCCCCC" w:sz="1"/>
              <w:bottom w:val="single" w:color="CCCCCC" w:sz="1"/>
              <w:right w:val="single" w:color="CCCCCC" w:sz="1"/>
            </w:tcBorders>
            <w:shd w:fill="FFFFFF" w:val="clear"/>
          </w:tcPr>
          <w:p>
            <w:pPr>
              <w:jc w:val="center"/>
            </w:pPr>
            <w:r>
              <w:rPr>
                <w:color w:val="2E7D32"/>
                <w:sz w:val="20"/>
                <w:szCs w:val="20"/>
              </w:rPr>
              <w:t xml:space="preserve">+2.6%</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$156.32</w:t>
            </w:r>
          </w:p>
        </w:tc>
      </w:tr>
    </w:tbl>
    <w:p>
      <w:pPr>
        <w:spacing w:after="300"/>
      </w:pPr>
    </w:p>
    <w:p>
      <w:pPr>
        <w:pStyle w:val="Heading1"/>
      </w:pPr>
      <w:r>
        <w:t xml:space="preserve">Peer County Comparison (FY 2024-25)</w:t>
      </w:r>
    </w:p>
    <w:p>
      <w:pPr>
        <w:spacing w:after="200"/>
      </w:pPr>
      <w:r>
        <w:t xml:space="preserve">Fire protection expenditures for major California counties: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Borders>
              <w:top w:val="single" w:color="CCCCCC" w:sz="1"/>
              <w:left w:val="single" w:color="CCCCCC" w:sz="1"/>
              <w:bottom w:val="single" w:color="CCCCCC" w:sz="1"/>
              <w:right w:val="single" w:color="CCCCCC" w:sz="1"/>
            </w:tcBorders>
            <w:shd w:fill="B71C1C" w:val="clear"/>
          </w:tcPr>
          <w:p>
            <w:pPr>
              <w:jc w:val="left"/>
            </w:pPr>
            <w:r>
              <w:rPr>
                <w:b/>
                <w:bCs/>
                <w:color w:val="FFFFFF"/>
                <w:sz w:val="20"/>
                <w:szCs w:val="20"/>
              </w:rPr>
              <w:t xml:space="preserve">County</w:t>
            </w:r>
          </w:p>
        </w:tc>
        <w:tc>
          <w:tcPr>
            <w:tcBorders>
              <w:top w:val="single" w:color="CCCCCC" w:sz="1"/>
              <w:left w:val="single" w:color="CCCCCC" w:sz="1"/>
              <w:bottom w:val="single" w:color="CCCCCC" w:sz="1"/>
              <w:right w:val="single" w:color="CCCCCC" w:sz="1"/>
            </w:tcBorders>
            <w:shd w:fill="B71C1C" w:val="clear"/>
          </w:tcPr>
          <w:p>
            <w:pPr>
              <w:jc w:val="right"/>
            </w:pPr>
            <w:r>
              <w:rPr>
                <w:b/>
                <w:bCs/>
                <w:color w:val="FFFFFF"/>
                <w:sz w:val="20"/>
                <w:szCs w:val="20"/>
              </w:rPr>
              <w:t xml:space="preserve">FY 2023-24</w:t>
            </w:r>
          </w:p>
        </w:tc>
        <w:tc>
          <w:tcPr>
            <w:tcBorders>
              <w:top w:val="single" w:color="CCCCCC" w:sz="1"/>
              <w:left w:val="single" w:color="CCCCCC" w:sz="1"/>
              <w:bottom w:val="single" w:color="CCCCCC" w:sz="1"/>
              <w:right w:val="single" w:color="CCCCCC" w:sz="1"/>
            </w:tcBorders>
            <w:shd w:fill="B71C1C" w:val="clear"/>
          </w:tcPr>
          <w:p>
            <w:pPr>
              <w:jc w:val="right"/>
            </w:pPr>
            <w:r>
              <w:rPr>
                <w:b/>
                <w:bCs/>
                <w:color w:val="FFFFFF"/>
                <w:sz w:val="20"/>
                <w:szCs w:val="20"/>
              </w:rPr>
              <w:t xml:space="preserve">FY 2024-25</w:t>
            </w:r>
          </w:p>
        </w:tc>
      </w:tr>
      <w:tr>
        <w:tc>
          <w:tcPr>
            <w:tcBorders>
              <w:top w:val="single" w:color="CCCCCC" w:sz="1"/>
              <w:left w:val="single" w:color="CCCCCC" w:sz="1"/>
              <w:bottom w:val="single" w:color="CCCCCC" w:sz="1"/>
              <w:right w:val="single" w:color="CCCCCC" w:sz="1"/>
            </w:tcBorders>
            <w:shd w:fill="FFCDD2" w:val="clear"/>
          </w:tcPr>
          <w:p>
            <w:pPr>
              <w:jc w:val="left"/>
            </w:pPr>
            <w:r>
              <w:rPr>
                <w:b/>
                <w:bCs/>
                <w:color w:val="000000"/>
                <w:sz w:val="20"/>
                <w:szCs w:val="20"/>
              </w:rPr>
              <w:t xml:space="preserve">Los Angeles</w:t>
            </w:r>
          </w:p>
        </w:tc>
        <w:tc>
          <w:tcPr>
            <w:tcBorders>
              <w:top w:val="single" w:color="CCCCCC" w:sz="1"/>
              <w:left w:val="single" w:color="CCCCCC" w:sz="1"/>
              <w:bottom w:val="single" w:color="CCCCCC" w:sz="1"/>
              <w:right w:val="single" w:color="CCCCCC" w:sz="1"/>
            </w:tcBorders>
            <w:shd w:fill="FFCDD2" w:val="clear"/>
          </w:tcPr>
          <w:p>
            <w:pPr>
              <w:jc w:val="right"/>
            </w:pPr>
            <w:r>
              <w:rPr>
                <w:color w:val="000000"/>
                <w:sz w:val="20"/>
                <w:szCs w:val="20"/>
              </w:rPr>
              <w:t xml:space="preserve">$1.50B</w:t>
            </w:r>
          </w:p>
        </w:tc>
        <w:tc>
          <w:tcPr>
            <w:tcBorders>
              <w:top w:val="single" w:color="CCCCCC" w:sz="1"/>
              <w:left w:val="single" w:color="CCCCCC" w:sz="1"/>
              <w:bottom w:val="single" w:color="CCCCCC" w:sz="1"/>
              <w:right w:val="single" w:color="CCCCCC" w:sz="1"/>
            </w:tcBorders>
            <w:shd w:fill="FFCDD2" w:val="clear"/>
          </w:tcPr>
          <w:p>
            <w:pPr>
              <w:jc w:val="right"/>
            </w:pPr>
            <w:r>
              <w:rPr>
                <w:b/>
                <w:bCs/>
                <w:color w:val="000000"/>
                <w:sz w:val="20"/>
                <w:szCs w:val="20"/>
              </w:rPr>
              <w:t xml:space="preserve">$1.54B</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Riverside</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$302.4M</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$332.3M</w:t>
            </w:r>
          </w:p>
        </w:tc>
      </w:tr>
      <w:tr>
        <w:tc>
          <w:tcPr>
            <w:tcBorders>
              <w:top w:val="single" w:color="CCCCCC" w:sz="1"/>
              <w:left w:val="single" w:color="CCCCCC" w:sz="1"/>
              <w:bottom w:val="single" w:color="CCCCCC" w:sz="1"/>
              <w:right w:val="single" w:color="CCCCCC" w:sz="1"/>
            </w:tcBorders>
            <w:shd w:fill="F5F5F5" w:val="clear"/>
          </w:tcPr>
          <w:p>
            <w:pPr>
              <w:jc w:val="left"/>
            </w:pPr>
            <w:r>
              <w:rPr>
                <w:color w:val="000000"/>
                <w:sz w:val="20"/>
                <w:szCs w:val="20"/>
              </w:rPr>
              <w:t xml:space="preserve">San Bernardino</w:t>
            </w:r>
          </w:p>
        </w:tc>
        <w:tc>
          <w:tcPr>
            <w:tcBorders>
              <w:top w:val="single" w:color="CCCCCC" w:sz="1"/>
              <w:left w:val="single" w:color="CCCCCC" w:sz="1"/>
              <w:bottom w:val="single" w:color="CCCCCC" w:sz="1"/>
              <w:right w:val="single" w:color="CCCCCC" w:sz="1"/>
            </w:tcBorders>
            <w:shd w:fill="F5F5F5" w:val="clear"/>
          </w:tcPr>
          <w:p>
            <w:pPr>
              <w:jc w:val="right"/>
            </w:pPr>
            <w:r>
              <w:rPr>
                <w:color w:val="000000"/>
                <w:sz w:val="20"/>
                <w:szCs w:val="20"/>
              </w:rPr>
              <w:t xml:space="preserve">$258.5M</w:t>
            </w:r>
          </w:p>
        </w:tc>
        <w:tc>
          <w:tcPr>
            <w:tcBorders>
              <w:top w:val="single" w:color="CCCCCC" w:sz="1"/>
              <w:left w:val="single" w:color="CCCCCC" w:sz="1"/>
              <w:bottom w:val="single" w:color="CCCCCC" w:sz="1"/>
              <w:right w:val="single" w:color="CCCCCC" w:sz="1"/>
            </w:tcBorders>
            <w:shd w:fill="F5F5F5" w:val="clear"/>
          </w:tcPr>
          <w:p>
            <w:pPr>
              <w:jc w:val="right"/>
            </w:pPr>
            <w:r>
              <w:rPr>
                <w:color w:val="000000"/>
                <w:sz w:val="20"/>
                <w:szCs w:val="20"/>
              </w:rPr>
              <w:t xml:space="preserve">$277.7M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Alameda</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$155.7M</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$168.2M</w:t>
            </w:r>
          </w:p>
        </w:tc>
      </w:tr>
      <w:tr>
        <w:tc>
          <w:tcPr>
            <w:tcBorders>
              <w:top w:val="single" w:color="CCCCCC" w:sz="1"/>
              <w:left w:val="single" w:color="CCCCCC" w:sz="1"/>
              <w:bottom w:val="single" w:color="CCCCCC" w:sz="1"/>
              <w:right w:val="single" w:color="CCCCCC" w:sz="1"/>
            </w:tcBorders>
            <w:shd w:fill="F5F5F5" w:val="clear"/>
          </w:tcPr>
          <w:p>
            <w:pPr>
              <w:jc w:val="left"/>
            </w:pPr>
            <w:r>
              <w:rPr>
                <w:color w:val="000000"/>
                <w:sz w:val="20"/>
                <w:szCs w:val="20"/>
              </w:rPr>
              <w:t xml:space="preserve">Santa Clara</w:t>
            </w:r>
          </w:p>
        </w:tc>
        <w:tc>
          <w:tcPr>
            <w:tcBorders>
              <w:top w:val="single" w:color="CCCCCC" w:sz="1"/>
              <w:left w:val="single" w:color="CCCCCC" w:sz="1"/>
              <w:bottom w:val="single" w:color="CCCCCC" w:sz="1"/>
              <w:right w:val="single" w:color="CCCCCC" w:sz="1"/>
            </w:tcBorders>
            <w:shd w:fill="F5F5F5" w:val="clear"/>
          </w:tcPr>
          <w:p>
            <w:pPr>
              <w:jc w:val="right"/>
            </w:pPr>
            <w:r>
              <w:rPr>
                <w:color w:val="000000"/>
                <w:sz w:val="20"/>
                <w:szCs w:val="20"/>
              </w:rPr>
              <w:t xml:space="preserve">$158.1M</w:t>
            </w:r>
          </w:p>
        </w:tc>
        <w:tc>
          <w:tcPr>
            <w:tcBorders>
              <w:top w:val="single" w:color="CCCCCC" w:sz="1"/>
              <w:left w:val="single" w:color="CCCCCC" w:sz="1"/>
              <w:bottom w:val="single" w:color="CCCCCC" w:sz="1"/>
              <w:right w:val="single" w:color="CCCCCC" w:sz="1"/>
            </w:tcBorders>
            <w:shd w:fill="F5F5F5" w:val="clear"/>
          </w:tcPr>
          <w:p>
            <w:pPr>
              <w:jc w:val="right"/>
            </w:pPr>
            <w:r>
              <w:rPr>
                <w:color w:val="000000"/>
                <w:sz w:val="20"/>
                <w:szCs w:val="20"/>
              </w:rPr>
              <w:t xml:space="preserve">$165.3M</w:t>
            </w:r>
          </w:p>
        </w:tc>
      </w:tr>
      <w:tr>
        <w:tc>
          <w:tcPr>
            <w:tcBorders>
              <w:top w:val="single" w:color="CCCCCC" w:sz="1"/>
              <w:left w:val="single" w:color="CCCCCC" w:sz="1"/>
              <w:bottom w:val="single" w:color="CCCCCC" w:sz="1"/>
              <w:right w:val="single" w:color="CCCCCC" w:sz="1"/>
            </w:tcBorders>
            <w:shd w:fill="FFFFFF" w:val="clear"/>
          </w:tcPr>
          <w:p>
            <w:pPr>
              <w:jc w:val="left"/>
            </w:pPr>
            <w:r>
              <w:rPr>
                <w:color w:val="000000"/>
                <w:sz w:val="20"/>
                <w:szCs w:val="20"/>
              </w:rPr>
              <w:t xml:space="preserve">San Diego</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$75.7M</w:t>
            </w:r>
          </w:p>
        </w:tc>
        <w:tc>
          <w:tcPr>
            <w:tcBorders>
              <w:top w:val="single" w:color="CCCCCC" w:sz="1"/>
              <w:left w:val="single" w:color="CCCCCC" w:sz="1"/>
              <w:bottom w:val="single" w:color="CCCCCC" w:sz="1"/>
              <w:right w:val="single" w:color="CCCCCC" w:sz="1"/>
            </w:tcBorders>
            <w:shd w:fill="FFFFFF" w:val="clear"/>
          </w:tcPr>
          <w:p>
            <w:pPr>
              <w:jc w:val="right"/>
            </w:pPr>
            <w:r>
              <w:rPr>
                <w:color w:val="000000"/>
                <w:sz w:val="20"/>
                <w:szCs w:val="20"/>
              </w:rPr>
              <w:t xml:space="preserve">$84.6M</w:t>
            </w:r>
          </w:p>
        </w:tc>
      </w:tr>
    </w:tbl>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3F2FD" w:val="clear"/>
          </w:tcPr>
          <w:p>
            <w:pPr>
              <w:spacing w:before="100" w:after="100"/>
            </w:pPr>
            <w:r>
              <w:rPr>
                <w:b/>
                <w:bCs/>
                <w:sz w:val="18"/>
                <w:szCs w:val="18"/>
              </w:rPr>
              <w:t xml:space="preserve">NOTE: </w:t>
            </w:r>
            <w:r>
              <w:rPr>
                <w:i/>
                <w:iCs/>
                <w:sz w:val="18"/>
                <w:szCs w:val="18"/>
              </w:rPr>
              <w:t xml:space="preserve">Orange County and Sacramento County are not listed because their fire services are provided by separate fire authorities (OCFA, Sacramento Metro Fire) rather than county departments, so their expenditures appear under different reporting entities.</w:t>
            </w:r>
          </w:p>
        </w:tc>
      </w:tr>
    </w:tbl>
    <w:p>
      <w:r>
        <w:br w:type="page"/>
      </w:r>
    </w:p>
    <w:p>
      <w:pPr>
        <w:pStyle w:val="Heading1"/>
      </w:pPr>
      <w:r>
        <w:t xml:space="preserve">Key Findings</w:t>
      </w:r>
    </w:p>
    <w:p>
      <w:pPr>
        <w:spacing w:before="150" w:after="100"/>
      </w:pPr>
      <w:r>
        <w:rPr>
          <w:b/>
          <w:bCs/>
          <w:sz w:val="24"/>
          <w:szCs w:val="24"/>
        </w:rPr>
        <w:t xml:space="preserve">1. Budget Growth Trajectory</w:t>
      </w:r>
    </w:p>
    <w:p>
      <w:pPr>
        <w:spacing w:after="150"/>
      </w:pPr>
      <w:r>
        <w:rPr>
          <w:sz w:val="22"/>
          <w:szCs w:val="22"/>
        </w:rPr>
        <w:t xml:space="preserve">LA County Fire Department expenditures have grown from $1.23B in FY 2019-20 to $1.54B in FY 2024-25, representing a </w:t>
      </w:r>
      <w:r>
        <w:rPr>
          <w:b/>
          <w:bCs/>
          <w:sz w:val="22"/>
          <w:szCs w:val="22"/>
        </w:rPr>
        <w:t xml:space="preserve">25.2% increase</w:t>
      </w:r>
      <w:r>
        <w:rPr>
          <w:sz w:val="22"/>
          <w:szCs w:val="22"/>
        </w:rPr>
        <w:t xml:space="preserve"> over five years.</w:t>
      </w:r>
    </w:p>
    <w:p>
      <w:pPr>
        <w:spacing w:before="150" w:after="100"/>
      </w:pPr>
      <w:r>
        <w:rPr>
          <w:b/>
          <w:bCs/>
          <w:sz w:val="24"/>
          <w:szCs w:val="24"/>
        </w:rPr>
        <w:t xml:space="preserve">2. Per Capita Investment</w:t>
      </w:r>
    </w:p>
    <w:p>
      <w:pPr>
        <w:spacing w:after="150"/>
      </w:pPr>
      <w:r>
        <w:rPr>
          <w:sz w:val="22"/>
          <w:szCs w:val="22"/>
        </w:rPr>
        <w:t xml:space="preserve">Current per capita fire protection spending is </w:t>
      </w:r>
      <w:r>
        <w:rPr>
          <w:b/>
          <w:bCs/>
          <w:sz w:val="22"/>
          <w:szCs w:val="22"/>
        </w:rPr>
        <w:t xml:space="preserve">$156.32</w:t>
      </w:r>
      <w:r>
        <w:rPr>
          <w:sz w:val="22"/>
          <w:szCs w:val="22"/>
        </w:rPr>
        <w:t xml:space="preserve"> per resident, serving a population of 9,824,091 across approximately 4,084 square miles of unincorporated territory.</w:t>
      </w:r>
    </w:p>
    <w:p>
      <w:pPr>
        <w:spacing w:before="150" w:after="100"/>
      </w:pPr>
      <w:r>
        <w:rPr>
          <w:b/>
          <w:bCs/>
          <w:sz w:val="24"/>
          <w:szCs w:val="24"/>
        </w:rPr>
        <w:t xml:space="preserve">3. Statewide Leadership</w:t>
      </w:r>
    </w:p>
    <w:p>
      <w:pPr>
        <w:spacing w:after="150"/>
      </w:pPr>
      <w:r>
        <w:rPr>
          <w:sz w:val="22"/>
          <w:szCs w:val="22"/>
        </w:rPr>
        <w:t xml:space="preserve">LA County Fire Department is the largest county fire department in California by budget, with expenditures </w:t>
      </w:r>
      <w:r>
        <w:rPr>
          <w:b/>
          <w:bCs/>
          <w:sz w:val="22"/>
          <w:szCs w:val="22"/>
        </w:rPr>
        <w:t xml:space="preserve">4.6x larger</w:t>
      </w:r>
      <w:r>
        <w:rPr>
          <w:sz w:val="22"/>
          <w:szCs w:val="22"/>
        </w:rPr>
        <w:t xml:space="preserve"> than the next largest county (Riverside).</w:t>
      </w:r>
    </w:p>
    <w:p>
      <w:pPr>
        <w:spacing w:before="150" w:after="100"/>
      </w:pPr>
      <w:r>
        <w:rPr>
          <w:b/>
          <w:bCs/>
          <w:sz w:val="24"/>
          <w:szCs w:val="24"/>
        </w:rPr>
        <w:t xml:space="preserve">4. Year-Over-Year Growth</w:t>
      </w:r>
    </w:p>
    <w:p>
      <w:pPr>
        <w:spacing w:after="150"/>
      </w:pPr>
      <w:r>
        <w:rPr>
          <w:sz w:val="22"/>
          <w:szCs w:val="22"/>
        </w:rPr>
        <w:t xml:space="preserve">The FY 2024-25 budget represents a 2.6% increase over FY 2023-24, continuing the upward trend in fire protection investment.</w:t>
      </w:r>
    </w:p>
    <w:p>
      <w:r>
        <w:br w:type="page"/>
      </w:r>
    </w:p>
    <w:p>
      <w:pPr>
        <w:pStyle w:val="Heading1"/>
      </w:pPr>
      <w:r>
        <w:t xml:space="preserve">Data Sources &amp; Methodology</w:t>
      </w:r>
    </w:p>
    <w:p>
      <w:pPr>
        <w:spacing w:after="150"/>
      </w:pPr>
      <w:r>
        <w:rPr>
          <w:b/>
          <w:bCs/>
          <w:sz w:val="22"/>
          <w:szCs w:val="22"/>
        </w:rPr>
        <w:t xml:space="preserve">Primary Source: </w:t>
      </w:r>
      <w:r>
        <w:rPr>
          <w:sz w:val="22"/>
          <w:szCs w:val="22"/>
        </w:rPr>
        <w:t xml:space="preserve">California State Controller's Office</w:t>
      </w:r>
    </w:p>
    <w:p>
      <w:pPr>
        <w:spacing w:after="150"/>
      </w:pPr>
      <w:r>
        <w:rPr>
          <w:b/>
          <w:bCs/>
          <w:sz w:val="22"/>
          <w:szCs w:val="22"/>
        </w:rPr>
        <w:t xml:space="preserve">Dataset: </w:t>
      </w:r>
      <w:r>
        <w:rPr>
          <w:sz w:val="22"/>
          <w:szCs w:val="22"/>
        </w:rPr>
        <w:t xml:space="preserve">County Financial Transactions Reports - Expenditures (2002-2024)</w:t>
      </w:r>
    </w:p>
    <w:p>
      <w:pPr>
        <w:spacing w:after="150"/>
      </w:pPr>
      <w:r>
        <w:rPr>
          <w:b/>
          <w:bCs/>
          <w:sz w:val="22"/>
          <w:szCs w:val="22"/>
        </w:rPr>
        <w:t xml:space="preserve">Portal: </w:t>
      </w:r>
      <w:r>
        <w:rPr>
          <w:sz w:val="22"/>
          <w:szCs w:val="22"/>
        </w:rPr>
        <w:t xml:space="preserve">bythenumbers.sco.ca.gov</w:t>
      </w:r>
    </w:p>
    <w:p>
      <w:pPr>
        <w:spacing w:after="150"/>
      </w:pPr>
      <w:r>
        <w:rPr>
          <w:b/>
          <w:bCs/>
          <w:sz w:val="22"/>
          <w:szCs w:val="22"/>
        </w:rPr>
        <w:t xml:space="preserve">Category: </w:t>
      </w:r>
      <w:r>
        <w:rPr>
          <w:sz w:val="22"/>
          <w:szCs w:val="22"/>
        </w:rPr>
        <w:t xml:space="preserve">Public Protection &gt; Fire Protection (Operating Expenditures + Capital Outlay)</w:t>
      </w:r>
    </w:p>
    <w:p>
      <w:pPr>
        <w:spacing w:after="300"/>
      </w:pPr>
      <w:r>
        <w:rPr>
          <w:b/>
          <w:bCs/>
          <w:sz w:val="22"/>
          <w:szCs w:val="22"/>
        </w:rPr>
        <w:t xml:space="preserve">Population Data: </w:t>
      </w:r>
      <w:r>
        <w:rPr>
          <w:sz w:val="22"/>
          <w:szCs w:val="22"/>
        </w:rPr>
        <w:t xml:space="preserve">CA State Controller Estimated Population from County Per Capita Reports</w:t>
      </w:r>
    </w:p>
    <w:p>
      <w:pPr>
        <w:spacing w:before="200" w:after="150"/>
      </w:pPr>
      <w:r>
        <w:rPr>
          <w:sz w:val="22"/>
          <w:szCs w:val="22"/>
        </w:rPr>
        <w:t xml:space="preserve">This data is publicly available and can be independently verified at the California State Controller's Open Data Portal. All figures represent official financial transactions as reported by Los Angeles County to the State Controller.</w:t>
      </w:r>
    </w:p>
    <w:p>
      <w:pPr>
        <w:spacing w:before="200"/>
      </w:pPr>
      <w:r>
        <w:rPr>
          <w:sz w:val="22"/>
          <w:szCs w:val="22"/>
        </w:rPr>
        <w:t xml:space="preserve">Should you require additional analysis, historical trends, or specific breakdowns, please do not hesitate to request supplementary reports.</w:t>
      </w:r>
    </w:p>
    <w:p>
      <w:pPr>
        <w:spacing w:before="400"/>
      </w:pPr>
      <w:r>
        <w:rPr>
          <w:sz w:val="22"/>
          <w:szCs w:val="22"/>
        </w:rPr>
        <w:t xml:space="preserve">Respectfully submitted,</w:t>
      </w:r>
    </w:p>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Pr>
          <w:p>
            <w:pPr>
              <w:spacing w:before="100" w:after="100"/>
            </w:pPr>
            <w:r>
              <w:rPr>
                <w:b/>
                <w:bCs/>
                <w:sz w:val="16"/>
                <w:szCs w:val="16"/>
              </w:rPr>
              <w:t xml:space="preserve">DISCLAIMER: </w:t>
            </w:r>
            <w:r>
              <w:rPr>
                <w:i/>
                <w:iCs/>
                <w:sz w:val="16"/>
                <w:szCs w:val="16"/>
              </w:rPr>
              <w:t xml:space="preserve">This report is generated from publicly available data published by the California State Controller's Office. All figures reflect official County Financial Transactions Reports as filed with the State. Data is subject to revision. For the most current figures, verify at bythenumbers.sco.ca.gov.</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IAFF Local 1014 -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00"/>
      <w:jc w:val="center"/>
    </w:pPr>
    <w:rPr>
      <w:b/>
      <w:bCs/>
      <w:color w:val="B71C1C"/>
      <w:sz w:val="44"/>
      <w:szCs w:val="44"/>
    </w:rPr>
  </w:style>
  <w:style w:type="paragraph" w:styleId="Heading1">
    <w:name w:val="Heading 1"/>
    <w:basedOn w:val="Normal"/>
    <w:next w:val="Normal"/>
    <w:qFormat/>
    <w:pPr>
      <w:spacing w:before="300" w:after="150"/>
      <w:outlineLvl w:val="0"/>
    </w:pPr>
    <w:rPr>
      <w:b/>
      <w:bCs/>
      <w:color w:val="B71C1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2026-01-24T05:35:00.944Z</dcterms:created>
  <dcterms:modified xsi:type="dcterms:W3CDTF">2026-01-24T05:35:00.945Z</dcterms:modified>
</cp:coreProperties>
</file>

<file path=docProps/custom.xml><?xml version="1.0" encoding="utf-8"?>
<Properties xmlns="http://schemas.openxmlformats.org/officeDocument/2006/custom-properties" xmlns:vt="http://schemas.openxmlformats.org/officeDocument/2006/docPropsVTypes"/>
</file>