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B71C1C"/>
          <w:sz w:val="28"/>
          <w:szCs w:val="28"/>
        </w:rPr>
        <w:t xml:space="preserve">CONFIDENTIAL</w:t>
      </w:r>
    </w:p>
    <w:p>
      <w:pPr>
        <w:spacing w:before="1000"/>
        <w:jc w:val="center"/>
      </w:pPr>
      <w:r>
        <w:rPr>
          <w:b/>
          <w:bCs/>
          <w:color w:val="B71C1C"/>
          <w:sz w:val="56"/>
          <w:szCs w:val="56"/>
        </w:rPr>
        <w:t xml:space="preserve">LOS ANGELES COUNTY</w:t>
      </w:r>
    </w:p>
    <w:p>
      <w:pPr>
        <w:jc w:val="center"/>
      </w:pPr>
      <w:r>
        <w:rPr>
          <w:b/>
          <w:bCs/>
          <w:color w:val="B71C1C"/>
          <w:sz w:val="56"/>
          <w:szCs w:val="56"/>
        </w:rPr>
        <w:t xml:space="preserve">FIRE DEPARTMENT</w:t>
      </w:r>
    </w:p>
    <w:p>
      <w:pPr>
        <w:spacing w:before="400"/>
        <w:jc w:val="center"/>
      </w:pPr>
      <w:r>
        <w:rPr>
          <w:sz w:val="32"/>
          <w:szCs w:val="32"/>
        </w:rPr>
        <w:t xml:space="preserve">Comprehensive Funding &amp; Staffing Analysis</w:t>
      </w:r>
    </w:p>
    <w:p>
      <w:pPr>
        <w:spacing w:before="800"/>
        <w:jc w:val="center"/>
      </w:pPr>
      <w:r>
        <w:rPr>
          <w:sz w:val="24"/>
          <w:szCs w:val="24"/>
        </w:rPr>
        <w:t xml:space="preserve">Prepared for:</w:t>
      </w:r>
    </w:p>
    <w:p>
      <w:pPr>
        <w:spacing w:before="200"/>
        <w:jc w:val="center"/>
      </w:pPr>
      <w:r>
        <w:rPr>
          <w:b/>
          <w:bCs/>
          <w:sz w:val="32"/>
          <w:szCs w:val="32"/>
        </w:rPr>
        <w:t xml:space="preserve">David Gillotte</w:t>
      </w:r>
    </w:p>
    <w:p>
      <w:pPr>
        <w:jc w:val="center"/>
      </w:pPr>
      <w:r>
        <w:rPr>
          <w:sz w:val="24"/>
          <w:szCs w:val="24"/>
        </w:rPr>
        <w:t xml:space="preserve">President, IAFF Local 1014</w:t>
      </w:r>
    </w:p>
    <w:p>
      <w:pPr>
        <w:jc w:val="center"/>
      </w:pPr>
      <w:r>
        <w:rPr>
          <w:sz w:val="24"/>
          <w:szCs w:val="24"/>
        </w:rPr>
        <w:t xml:space="preserve">Los Angeles County Fire Fighters</w:t>
      </w:r>
    </w:p>
    <w:p>
      <w:pPr>
        <w:spacing w:before="1000"/>
        <w:jc w:val="center"/>
      </w:pPr>
      <w:r>
        <w:rPr>
          <w:color w:val="666666"/>
          <w:sz w:val="22"/>
          <w:szCs w:val="22"/>
        </w:rPr>
        <w:t xml:space="preserve">January 23, 2026</w:t>
      </w:r>
    </w:p>
    <w:p>
      <w:r>
        <w:br w:type="page"/>
      </w:r>
    </w:p>
    <w:p>
      <w:pPr>
        <w:pStyle w:val="Title"/>
      </w:pPr>
      <w:r>
        <w:rPr>
          <w:color w:val="B71C1C"/>
        </w:rPr>
        <w:t xml:space="preserve">Executive Summary</w:t>
      </w:r>
    </w:p>
    <w:p>
      <w:pPr>
        <w:spacing w:before="200" w:after="200"/>
      </w:pPr>
      <w:r>
        <w:rPr>
          <w:sz w:val="22"/>
          <w:szCs w:val="22"/>
        </w:rPr>
        <w:t xml:space="preserve">This report presents a data-driven analysis of Los Angeles County Fire Department funding and staffing levels. The findings are based on official government data from the California State Controller's Office, NFPA standards, and independent investigations.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EBEE" w:val="clear"/>
          </w:tcPr>
          <w:p>
            <w:pPr>
              <w:spacing w:before="150"/>
            </w:pPr>
            <w:r>
              <w:rPr>
                <w:b/>
                <w:bCs/>
                <w:color w:val="B71C1C"/>
                <w:sz w:val="28"/>
                <w:szCs w:val="28"/>
              </w:rPr>
              <w:t xml:space="preserve">CRITICAL FINDINGS</w:t>
            </w:r>
          </w:p>
          <w:p>
            <w:pPr>
              <w:pStyle w:val="ListParagraph"/>
              <w:numPr>
                <w:ilvl w:val="0"/>
                <w:numId w:val="2"/>
              </w:numPr>
            </w:pPr>
            <w:r>
              <w:rPr>
                <w:b/>
                <w:bCs/>
                <w:sz w:val="22"/>
                <w:szCs w:val="22"/>
              </w:rPr>
              <w:t xml:space="preserve">Staffing Crisis: </w:t>
            </w:r>
            <w:r>
              <w:rPr>
                <w:sz w:val="22"/>
                <w:szCs w:val="22"/>
              </w:rPr>
              <w:t xml:space="preserve">LACoFD staffing ratio of 1.20 per 1,000 residents is 45% below San Francisco (2.09) and at the low end of NFPA guidelines.</w:t>
            </w:r>
          </w:p>
          <w:p>
            <w:pPr>
              <w:pStyle w:val="ListParagraph"/>
              <w:numPr>
                <w:ilvl w:val="0"/>
                <w:numId w:val="2"/>
              </w:numPr>
            </w:pPr>
            <w:r>
              <w:rPr>
                <w:b/>
                <w:bCs/>
                <w:sz w:val="22"/>
                <w:szCs w:val="22"/>
              </w:rPr>
              <w:t xml:space="preserve">Budget Erosion: </w:t>
            </w:r>
            <w:r>
              <w:rPr>
                <w:sz w:val="22"/>
                <w:szCs w:val="22"/>
              </w:rPr>
              <w:t xml:space="preserve">After adjusting for 20.1% inflation, real budget growth is only 5.1% over 5 years—less than 1.1% annually.</w:t>
            </w:r>
          </w:p>
          <w:p>
            <w:pPr>
              <w:pStyle w:val="ListParagraph"/>
              <w:numPr>
                <w:ilvl w:val="0"/>
                <w:numId w:val="2"/>
              </w:numPr>
            </w:pPr>
            <w:r>
              <w:rPr>
                <w:b/>
                <w:bCs/>
                <w:sz w:val="22"/>
                <w:szCs w:val="22"/>
              </w:rPr>
              <w:t xml:space="preserve">Staffing Gap: </w:t>
            </w:r>
            <w:r>
              <w:rPr>
                <w:sz w:val="22"/>
                <w:szCs w:val="22"/>
              </w:rPr>
              <w:t xml:space="preserve">To match San Francisco's ratio, LACoFD would need approximately 3,560 additional firefighters.</w:t>
            </w:r>
          </w:p>
          <w:p>
            <w:pPr>
              <w:pStyle w:val="ListParagraph"/>
              <w:numPr>
                <w:ilvl w:val="0"/>
                <w:numId w:val="2"/>
              </w:numPr>
              <w:spacing w:after="150"/>
            </w:pPr>
            <w:r>
              <w:rPr>
                <w:b/>
                <w:bCs/>
                <w:sz w:val="22"/>
                <w:szCs w:val="22"/>
              </w:rPr>
              <w:t xml:space="preserve">National Context: </w:t>
            </w:r>
            <w:r>
              <w:rPr>
                <w:sz w:val="22"/>
                <w:szCs w:val="22"/>
              </w:rPr>
              <w:t xml:space="preserve">A January 2025 CNN investigation found LA fire departments "among the most understaffed in America."</w:t>
            </w:r>
          </w:p>
        </w:tc>
      </w:tr>
    </w:tbl>
    <w:p>
      <w:r>
        <w:br w:type="page"/>
      </w:r>
    </w:p>
    <w:p>
      <w:pPr>
        <w:pStyle w:val="Heading1"/>
      </w:pPr>
      <w:r>
        <w:rPr>
          <w:color w:val="B71C1C"/>
        </w:rPr>
        <w:t xml:space="preserve">1. The Staffing Crisis</w:t>
      </w:r>
    </w:p>
    <w:p>
      <w:pPr>
        <w:spacing w:after="200"/>
      </w:pPr>
      <w:r>
        <w:rPr>
          <w:sz w:val="22"/>
          <w:szCs w:val="22"/>
        </w:rPr>
        <w:t xml:space="preserve">Los Angeles County firefighters are stretched dangerously thin compared to peer departments across the nation.</w:t>
      </w:r>
    </w:p>
    <w:p>
      <w:pPr>
        <w:pStyle w:val="Heading2"/>
      </w:pPr>
      <w:r>
        <w:t xml:space="preserve">Firefighters Per 1,000 Residents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2500"/>
        <w:gridCol w:w="2360"/>
      </w:tblGrid>
      <w:tr>
        <w:trPr>
          <w:tblHeader/>
        </w:trPr>
        <w:tc>
          <w:tcPr>
            <w:tcBorders>
              <w:top w:val="single" w:color="CCCCCC" w:sz="1"/>
              <w:left w:val="single" w:color="CCCCCC" w:sz="1"/>
              <w:bottom w:val="single" w:color="CCCCCC" w:sz="1"/>
              <w:right w:val="single" w:color="CCCCCC" w:sz="1"/>
            </w:tcBorders>
            <w:shd w:fill="B71C1C" w:val="clear"/>
          </w:tcPr>
          <w:p>
            <w:pPr>
              <w:jc w:val="left"/>
            </w:pPr>
            <w:r>
              <w:rPr>
                <w:b/>
                <w:bCs/>
                <w:color w:val="FFFFFF"/>
                <w:sz w:val="20"/>
                <w:szCs w:val="20"/>
              </w:rPr>
              <w:t xml:space="preserve">Department/City</w:t>
            </w:r>
          </w:p>
        </w:tc>
        <w:tc>
          <w:tcPr>
            <w:tcBorders>
              <w:top w:val="single" w:color="CCCCCC" w:sz="1"/>
              <w:left w:val="single" w:color="CCCCCC" w:sz="1"/>
              <w:bottom w:val="single" w:color="CCCCCC" w:sz="1"/>
              <w:right w:val="single" w:color="CCCCCC" w:sz="1"/>
            </w:tcBorders>
            <w:shd w:fill="B71C1C" w:val="clear"/>
          </w:tcPr>
          <w:p>
            <w:pPr>
              <w:jc w:val="center"/>
            </w:pPr>
            <w:r>
              <w:rPr>
                <w:b/>
                <w:bCs/>
                <w:color w:val="FFFFFF"/>
                <w:sz w:val="20"/>
                <w:szCs w:val="20"/>
              </w:rPr>
              <w:t xml:space="preserve">Ratio</w:t>
            </w:r>
          </w:p>
        </w:tc>
        <w:tc>
          <w:tcPr>
            <w:tcBorders>
              <w:top w:val="single" w:color="CCCCCC" w:sz="1"/>
              <w:left w:val="single" w:color="CCCCCC" w:sz="1"/>
              <w:bottom w:val="single" w:color="CCCCCC" w:sz="1"/>
              <w:right w:val="single" w:color="CCCCCC" w:sz="1"/>
            </w:tcBorders>
            <w:shd w:fill="B71C1C" w:val="clear"/>
          </w:tcPr>
          <w:p>
            <w:pPr>
              <w:jc w:val="right"/>
            </w:pPr>
            <w:r>
              <w:rPr>
                <w:b/>
                <w:bCs/>
                <w:color w:val="FFFFFF"/>
                <w:sz w:val="20"/>
                <w:szCs w:val="20"/>
              </w:rPr>
              <w:t xml:space="preserve">vs. LA County</w:t>
            </w:r>
          </w:p>
        </w:tc>
      </w:tr>
      <w:tr>
        <w:tc>
          <w:tcPr>
            <w:tcBorders>
              <w:top w:val="single" w:color="CCCCCC" w:sz="1"/>
              <w:left w:val="single" w:color="CCCCCC" w:sz="1"/>
              <w:bottom w:val="single" w:color="CCCCCC" w:sz="1"/>
              <w:right w:val="single" w:color="CCCCCC" w:sz="1"/>
            </w:tcBorders>
            <w:shd w:fill="FFF3E0" w:val="clear"/>
          </w:tcPr>
          <w:p>
            <w:pPr>
              <w:jc w:val="left"/>
            </w:pPr>
            <w:r>
              <w:rPr>
                <w:color w:val="000000"/>
                <w:sz w:val="20"/>
                <w:szCs w:val="20"/>
              </w:rPr>
              <w:t xml:space="preserve">San Francisco</w:t>
            </w:r>
          </w:p>
        </w:tc>
        <w:tc>
          <w:tcPr>
            <w:tcBorders>
              <w:top w:val="single" w:color="CCCCCC" w:sz="1"/>
              <w:left w:val="single" w:color="CCCCCC" w:sz="1"/>
              <w:bottom w:val="single" w:color="CCCCCC" w:sz="1"/>
              <w:right w:val="single" w:color="CCCCCC" w:sz="1"/>
            </w:tcBorders>
            <w:shd w:fill="FFF3E0" w:val="clear"/>
          </w:tcPr>
          <w:p>
            <w:pPr>
              <w:jc w:val="center"/>
            </w:pPr>
            <w:r>
              <w:rPr>
                <w:color w:val="000000"/>
                <w:sz w:val="20"/>
                <w:szCs w:val="20"/>
              </w:rPr>
              <w:t xml:space="preserve">2.09</w:t>
            </w:r>
          </w:p>
        </w:tc>
        <w:tc>
          <w:tcPr>
            <w:tcBorders>
              <w:top w:val="single" w:color="CCCCCC" w:sz="1"/>
              <w:left w:val="single" w:color="CCCCCC" w:sz="1"/>
              <w:bottom w:val="single" w:color="CCCCCC" w:sz="1"/>
              <w:right w:val="single" w:color="CCCCCC" w:sz="1"/>
            </w:tcBorders>
            <w:shd w:fill="FFF3E0" w:val="clear"/>
          </w:tcPr>
          <w:p>
            <w:pPr>
              <w:jc w:val="right"/>
            </w:pPr>
            <w:r>
              <w:rPr>
                <w:color w:val="2E7D32"/>
                <w:sz w:val="20"/>
                <w:szCs w:val="20"/>
              </w:rPr>
              <w:t xml:space="preserve">+80%</w:t>
            </w:r>
          </w:p>
        </w:tc>
      </w:tr>
      <w:tr>
        <w:tc>
          <w:tcPr>
            <w:tcBorders>
              <w:top w:val="single" w:color="CCCCCC" w:sz="1"/>
              <w:left w:val="single" w:color="CCCCCC" w:sz="1"/>
              <w:bottom w:val="single" w:color="CCCCCC" w:sz="1"/>
              <w:right w:val="single" w:color="CCCCCC" w:sz="1"/>
            </w:tcBorders>
            <w:shd w:fill="FFFFFF" w:val="clear"/>
          </w:tcPr>
          <w:p>
            <w:pPr>
              <w:jc w:val="left"/>
            </w:pPr>
            <w:r>
              <w:rPr>
                <w:color w:val="000000"/>
                <w:sz w:val="20"/>
                <w:szCs w:val="20"/>
              </w:rPr>
              <w:t xml:space="preserve">Chicago</w:t>
            </w:r>
          </w:p>
        </w:tc>
        <w:tc>
          <w:tcPr>
            <w:tcBorders>
              <w:top w:val="single" w:color="CCCCCC" w:sz="1"/>
              <w:left w:val="single" w:color="CCCCCC" w:sz="1"/>
              <w:bottom w:val="single" w:color="CCCCCC" w:sz="1"/>
              <w:right w:val="single" w:color="CCCCCC" w:sz="1"/>
            </w:tcBorders>
            <w:shd w:fill="FFFFFF" w:val="clear"/>
          </w:tcPr>
          <w:p>
            <w:pPr>
              <w:jc w:val="center"/>
            </w:pPr>
            <w:r>
              <w:rPr>
                <w:color w:val="000000"/>
                <w:sz w:val="20"/>
                <w:szCs w:val="20"/>
              </w:rPr>
              <w:t xml:space="preserve">2.00</w:t>
            </w:r>
          </w:p>
        </w:tc>
        <w:tc>
          <w:tcPr>
            <w:tcBorders>
              <w:top w:val="single" w:color="CCCCCC" w:sz="1"/>
              <w:left w:val="single" w:color="CCCCCC" w:sz="1"/>
              <w:bottom w:val="single" w:color="CCCCCC" w:sz="1"/>
              <w:right w:val="single" w:color="CCCCCC" w:sz="1"/>
            </w:tcBorders>
            <w:shd w:fill="FFFFFF" w:val="clear"/>
          </w:tcPr>
          <w:p>
            <w:pPr>
              <w:jc w:val="right"/>
            </w:pPr>
            <w:r>
              <w:rPr>
                <w:color w:val="2E7D32"/>
                <w:sz w:val="20"/>
                <w:szCs w:val="20"/>
              </w:rPr>
              <w:t xml:space="preserve">+72%</w:t>
            </w:r>
          </w:p>
        </w:tc>
      </w:tr>
      <w:tr>
        <w:tc>
          <w:tcPr>
            <w:tcBorders>
              <w:top w:val="single" w:color="CCCCCC" w:sz="1"/>
              <w:left w:val="single" w:color="CCCCCC" w:sz="1"/>
              <w:bottom w:val="single" w:color="CCCCCC" w:sz="1"/>
              <w:right w:val="single" w:color="CCCCCC" w:sz="1"/>
            </w:tcBorders>
            <w:shd w:fill="FFF3E0" w:val="clear"/>
          </w:tcPr>
          <w:p>
            <w:pPr>
              <w:jc w:val="left"/>
            </w:pPr>
            <w:r>
              <w:rPr>
                <w:color w:val="000000"/>
                <w:sz w:val="20"/>
                <w:szCs w:val="20"/>
              </w:rPr>
              <w:t xml:space="preserve">Dallas</w:t>
            </w:r>
          </w:p>
        </w:tc>
        <w:tc>
          <w:tcPr>
            <w:tcBorders>
              <w:top w:val="single" w:color="CCCCCC" w:sz="1"/>
              <w:left w:val="single" w:color="CCCCCC" w:sz="1"/>
              <w:bottom w:val="single" w:color="CCCCCC" w:sz="1"/>
              <w:right w:val="single" w:color="CCCCCC" w:sz="1"/>
            </w:tcBorders>
            <w:shd w:fill="FFF3E0" w:val="clear"/>
          </w:tcPr>
          <w:p>
            <w:pPr>
              <w:jc w:val="center"/>
            </w:pPr>
            <w:r>
              <w:rPr>
                <w:color w:val="000000"/>
                <w:sz w:val="20"/>
                <w:szCs w:val="20"/>
              </w:rPr>
              <w:t xml:space="preserve">1.95</w:t>
            </w:r>
          </w:p>
        </w:tc>
        <w:tc>
          <w:tcPr>
            <w:tcBorders>
              <w:top w:val="single" w:color="CCCCCC" w:sz="1"/>
              <w:left w:val="single" w:color="CCCCCC" w:sz="1"/>
              <w:bottom w:val="single" w:color="CCCCCC" w:sz="1"/>
              <w:right w:val="single" w:color="CCCCCC" w:sz="1"/>
            </w:tcBorders>
            <w:shd w:fill="FFF3E0" w:val="clear"/>
          </w:tcPr>
          <w:p>
            <w:pPr>
              <w:jc w:val="right"/>
            </w:pPr>
            <w:r>
              <w:rPr>
                <w:color w:val="2E7D32"/>
                <w:sz w:val="20"/>
                <w:szCs w:val="20"/>
              </w:rPr>
              <w:t xml:space="preserve">+68%</w:t>
            </w:r>
          </w:p>
        </w:tc>
      </w:tr>
      <w:tr>
        <w:tc>
          <w:tcPr>
            <w:tcBorders>
              <w:top w:val="single" w:color="CCCCCC" w:sz="1"/>
              <w:left w:val="single" w:color="CCCCCC" w:sz="1"/>
              <w:bottom w:val="single" w:color="CCCCCC" w:sz="1"/>
              <w:right w:val="single" w:color="CCCCCC" w:sz="1"/>
            </w:tcBorders>
            <w:shd w:fill="FFFFFF" w:val="clear"/>
          </w:tcPr>
          <w:p>
            <w:pPr>
              <w:jc w:val="left"/>
            </w:pPr>
            <w:r>
              <w:rPr>
                <w:color w:val="000000"/>
                <w:sz w:val="20"/>
                <w:szCs w:val="20"/>
              </w:rPr>
              <w:t xml:space="preserve">Houston</w:t>
            </w:r>
          </w:p>
        </w:tc>
        <w:tc>
          <w:tcPr>
            <w:tcBorders>
              <w:top w:val="single" w:color="CCCCCC" w:sz="1"/>
              <w:left w:val="single" w:color="CCCCCC" w:sz="1"/>
              <w:bottom w:val="single" w:color="CCCCCC" w:sz="1"/>
              <w:right w:val="single" w:color="CCCCCC" w:sz="1"/>
            </w:tcBorders>
            <w:shd w:fill="FFFFFF" w:val="clear"/>
          </w:tcPr>
          <w:p>
            <w:pPr>
              <w:jc w:val="center"/>
            </w:pPr>
            <w:r>
              <w:rPr>
                <w:color w:val="000000"/>
                <w:sz w:val="20"/>
                <w:szCs w:val="20"/>
              </w:rPr>
              <w:t xml:space="preserve">1.90</w:t>
            </w:r>
          </w:p>
        </w:tc>
        <w:tc>
          <w:tcPr>
            <w:tcBorders>
              <w:top w:val="single" w:color="CCCCCC" w:sz="1"/>
              <w:left w:val="single" w:color="CCCCCC" w:sz="1"/>
              <w:bottom w:val="single" w:color="CCCCCC" w:sz="1"/>
              <w:right w:val="single" w:color="CCCCCC" w:sz="1"/>
            </w:tcBorders>
            <w:shd w:fill="FFFFFF" w:val="clear"/>
          </w:tcPr>
          <w:p>
            <w:pPr>
              <w:jc w:val="right"/>
            </w:pPr>
            <w:r>
              <w:rPr>
                <w:color w:val="2E7D32"/>
                <w:sz w:val="20"/>
                <w:szCs w:val="20"/>
              </w:rPr>
              <w:t xml:space="preserve">+64%</w:t>
            </w:r>
          </w:p>
        </w:tc>
      </w:tr>
      <w:tr>
        <w:tc>
          <w:tcPr>
            <w:tcBorders>
              <w:top w:val="single" w:color="CCCCCC" w:sz="1"/>
              <w:left w:val="single" w:color="CCCCCC" w:sz="1"/>
              <w:bottom w:val="single" w:color="CCCCCC" w:sz="1"/>
              <w:right w:val="single" w:color="CCCCCC" w:sz="1"/>
            </w:tcBorders>
            <w:shd w:fill="FFF3E0" w:val="clear"/>
          </w:tcPr>
          <w:p>
            <w:pPr>
              <w:jc w:val="left"/>
            </w:pPr>
            <w:r>
              <w:rPr>
                <w:color w:val="000000"/>
                <w:sz w:val="20"/>
                <w:szCs w:val="20"/>
              </w:rPr>
              <w:t xml:space="preserve">New York</w:t>
            </w:r>
          </w:p>
        </w:tc>
        <w:tc>
          <w:tcPr>
            <w:tcBorders>
              <w:top w:val="single" w:color="CCCCCC" w:sz="1"/>
              <w:left w:val="single" w:color="CCCCCC" w:sz="1"/>
              <w:bottom w:val="single" w:color="CCCCCC" w:sz="1"/>
              <w:right w:val="single" w:color="CCCCCC" w:sz="1"/>
            </w:tcBorders>
            <w:shd w:fill="FFF3E0" w:val="clear"/>
          </w:tcPr>
          <w:p>
            <w:pPr>
              <w:jc w:val="center"/>
            </w:pPr>
            <w:r>
              <w:rPr>
                <w:color w:val="000000"/>
                <w:sz w:val="20"/>
                <w:szCs w:val="20"/>
              </w:rPr>
              <w:t xml:space="preserve">1.67</w:t>
            </w:r>
          </w:p>
        </w:tc>
        <w:tc>
          <w:tcPr>
            <w:tcBorders>
              <w:top w:val="single" w:color="CCCCCC" w:sz="1"/>
              <w:left w:val="single" w:color="CCCCCC" w:sz="1"/>
              <w:bottom w:val="single" w:color="CCCCCC" w:sz="1"/>
              <w:right w:val="single" w:color="CCCCCC" w:sz="1"/>
            </w:tcBorders>
            <w:shd w:fill="FFF3E0" w:val="clear"/>
          </w:tcPr>
          <w:p>
            <w:pPr>
              <w:jc w:val="right"/>
            </w:pPr>
            <w:r>
              <w:rPr>
                <w:color w:val="2E7D32"/>
                <w:sz w:val="20"/>
                <w:szCs w:val="20"/>
              </w:rPr>
              <w:t xml:space="preserve">+44%</w:t>
            </w:r>
          </w:p>
        </w:tc>
      </w:tr>
      <w:tr>
        <w:tc>
          <w:tcPr>
            <w:tcBorders>
              <w:top w:val="single" w:color="CCCCCC" w:sz="1"/>
              <w:left w:val="single" w:color="CCCCCC" w:sz="1"/>
              <w:bottom w:val="single" w:color="CCCCCC" w:sz="1"/>
              <w:right w:val="single" w:color="CCCCCC" w:sz="1"/>
            </w:tcBorders>
            <w:shd w:fill="FFFFFF" w:val="clear"/>
          </w:tcPr>
          <w:p>
            <w:pPr>
              <w:jc w:val="left"/>
            </w:pPr>
            <w:r>
              <w:rPr>
                <w:color w:val="000000"/>
                <w:sz w:val="20"/>
                <w:szCs w:val="20"/>
              </w:rPr>
              <w:t xml:space="preserve">Alameda County</w:t>
            </w:r>
          </w:p>
        </w:tc>
        <w:tc>
          <w:tcPr>
            <w:tcBorders>
              <w:top w:val="single" w:color="CCCCCC" w:sz="1"/>
              <w:left w:val="single" w:color="CCCCCC" w:sz="1"/>
              <w:bottom w:val="single" w:color="CCCCCC" w:sz="1"/>
              <w:right w:val="single" w:color="CCCCCC" w:sz="1"/>
            </w:tcBorders>
            <w:shd w:fill="FFFFFF" w:val="clear"/>
          </w:tcPr>
          <w:p>
            <w:pPr>
              <w:jc w:val="center"/>
            </w:pPr>
            <w:r>
              <w:rPr>
                <w:color w:val="000000"/>
                <w:sz w:val="20"/>
                <w:szCs w:val="20"/>
              </w:rPr>
              <w:t xml:space="preserve">1.36</w:t>
            </w:r>
          </w:p>
        </w:tc>
        <w:tc>
          <w:tcPr>
            <w:tcBorders>
              <w:top w:val="single" w:color="CCCCCC" w:sz="1"/>
              <w:left w:val="single" w:color="CCCCCC" w:sz="1"/>
              <w:bottom w:val="single" w:color="CCCCCC" w:sz="1"/>
              <w:right w:val="single" w:color="CCCCCC" w:sz="1"/>
            </w:tcBorders>
            <w:shd w:fill="FFFFFF" w:val="clear"/>
          </w:tcPr>
          <w:p>
            <w:pPr>
              <w:jc w:val="right"/>
            </w:pPr>
            <w:r>
              <w:rPr>
                <w:color w:val="2E7D32"/>
                <w:sz w:val="20"/>
                <w:szCs w:val="20"/>
              </w:rPr>
              <w:t xml:space="preserve">+17%</w:t>
            </w:r>
          </w:p>
        </w:tc>
      </w:tr>
      <w:tr>
        <w:tc>
          <w:tcPr>
            <w:tcBorders>
              <w:top w:val="single" w:color="CCCCCC" w:sz="1"/>
              <w:left w:val="single" w:color="CCCCCC" w:sz="1"/>
              <w:bottom w:val="single" w:color="CCCCCC" w:sz="1"/>
              <w:right w:val="single" w:color="CCCCCC" w:sz="1"/>
            </w:tcBorders>
            <w:shd w:fill="FFCDD2" w:val="clear"/>
          </w:tcPr>
          <w:p>
            <w:pPr>
              <w:jc w:val="left"/>
            </w:pPr>
            <w:r>
              <w:rPr>
                <w:b/>
                <w:bCs/>
                <w:color w:val="000000"/>
                <w:sz w:val="20"/>
                <w:szCs w:val="20"/>
              </w:rPr>
              <w:t xml:space="preserve">LA County</w:t>
            </w:r>
          </w:p>
        </w:tc>
        <w:tc>
          <w:tcPr>
            <w:tcBorders>
              <w:top w:val="single" w:color="CCCCCC" w:sz="1"/>
              <w:left w:val="single" w:color="CCCCCC" w:sz="1"/>
              <w:bottom w:val="single" w:color="CCCCCC" w:sz="1"/>
              <w:right w:val="single" w:color="CCCCCC" w:sz="1"/>
            </w:tcBorders>
            <w:shd w:fill="FFCDD2" w:val="clear"/>
          </w:tcPr>
          <w:p>
            <w:pPr>
              <w:jc w:val="center"/>
            </w:pPr>
            <w:r>
              <w:rPr>
                <w:b/>
                <w:bCs/>
                <w:color w:val="000000"/>
                <w:sz w:val="20"/>
                <w:szCs w:val="20"/>
              </w:rPr>
              <w:t xml:space="preserve">1.16</w:t>
            </w:r>
          </w:p>
        </w:tc>
        <w:tc>
          <w:tcPr>
            <w:tcBorders>
              <w:top w:val="single" w:color="CCCCCC" w:sz="1"/>
              <w:left w:val="single" w:color="CCCCCC" w:sz="1"/>
              <w:bottom w:val="single" w:color="CCCCCC" w:sz="1"/>
              <w:right w:val="single" w:color="CCCCCC" w:sz="1"/>
            </w:tcBorders>
            <w:shd w:fill="FFCDD2" w:val="clear"/>
          </w:tcPr>
          <w:p>
            <w:pPr>
              <w:jc w:val="right"/>
            </w:pPr>
            <w:r>
              <w:rPr>
                <w:color w:val="000000"/>
                <w:sz w:val="20"/>
                <w:szCs w:val="20"/>
              </w:rPr>
              <w:t xml:space="preserve">—</w:t>
            </w:r>
          </w:p>
        </w:tc>
      </w:tr>
      <w:tr>
        <w:tc>
          <w:tcPr>
            <w:tcBorders>
              <w:top w:val="single" w:color="CCCCCC" w:sz="1"/>
              <w:left w:val="single" w:color="CCCCCC" w:sz="1"/>
              <w:bottom w:val="single" w:color="CCCCCC" w:sz="1"/>
              <w:right w:val="single" w:color="CCCCCC" w:sz="1"/>
            </w:tcBorders>
            <w:shd w:fill="FFFFFF" w:val="clear"/>
          </w:tcPr>
          <w:p>
            <w:pPr>
              <w:jc w:val="left"/>
            </w:pPr>
            <w:r>
              <w:rPr>
                <w:color w:val="000000"/>
                <w:sz w:val="20"/>
                <w:szCs w:val="20"/>
              </w:rPr>
              <w:t xml:space="preserve">Santa Clara County</w:t>
            </w:r>
          </w:p>
        </w:tc>
        <w:tc>
          <w:tcPr>
            <w:tcBorders>
              <w:top w:val="single" w:color="CCCCCC" w:sz="1"/>
              <w:left w:val="single" w:color="CCCCCC" w:sz="1"/>
              <w:bottom w:val="single" w:color="CCCCCC" w:sz="1"/>
              <w:right w:val="single" w:color="CCCCCC" w:sz="1"/>
            </w:tcBorders>
            <w:shd w:fill="FFFFFF" w:val="clear"/>
          </w:tcPr>
          <w:p>
            <w:pPr>
              <w:jc w:val="center"/>
            </w:pPr>
            <w:r>
              <w:rPr>
                <w:color w:val="000000"/>
                <w:sz w:val="20"/>
                <w:szCs w:val="20"/>
              </w:rPr>
              <w:t xml:space="preserve">1.06</w:t>
            </w:r>
          </w:p>
        </w:tc>
        <w:tc>
          <w:tcPr>
            <w:tcBorders>
              <w:top w:val="single" w:color="CCCCCC" w:sz="1"/>
              <w:left w:val="single" w:color="CCCCCC" w:sz="1"/>
              <w:bottom w:val="single" w:color="CCCCCC" w:sz="1"/>
              <w:right w:val="single" w:color="CCCCCC" w:sz="1"/>
            </w:tcBorders>
            <w:shd w:fill="FFFFFF" w:val="clear"/>
          </w:tcPr>
          <w:p>
            <w:pPr>
              <w:jc w:val="right"/>
            </w:pPr>
            <w:r>
              <w:rPr>
                <w:color w:val="C62828"/>
                <w:sz w:val="20"/>
                <w:szCs w:val="20"/>
              </w:rPr>
              <w:t xml:space="preserve">-9%</w:t>
            </w:r>
          </w:p>
        </w:tc>
      </w:tr>
      <w:tr>
        <w:tc>
          <w:tcPr>
            <w:tcBorders>
              <w:top w:val="single" w:color="CCCCCC" w:sz="1"/>
              <w:left w:val="single" w:color="CCCCCC" w:sz="1"/>
              <w:bottom w:val="single" w:color="CCCCCC" w:sz="1"/>
              <w:right w:val="single" w:color="CCCCCC" w:sz="1"/>
            </w:tcBorders>
            <w:shd w:fill="FFF3E0" w:val="clear"/>
          </w:tcPr>
          <w:p>
            <w:pPr>
              <w:jc w:val="left"/>
            </w:pPr>
            <w:r>
              <w:rPr>
                <w:color w:val="000000"/>
                <w:sz w:val="20"/>
                <w:szCs w:val="20"/>
              </w:rPr>
              <w:t xml:space="preserve">Los Angeles City</w:t>
            </w:r>
          </w:p>
        </w:tc>
        <w:tc>
          <w:tcPr>
            <w:tcBorders>
              <w:top w:val="single" w:color="CCCCCC" w:sz="1"/>
              <w:left w:val="single" w:color="CCCCCC" w:sz="1"/>
              <w:bottom w:val="single" w:color="CCCCCC" w:sz="1"/>
              <w:right w:val="single" w:color="CCCCCC" w:sz="1"/>
            </w:tcBorders>
            <w:shd w:fill="FFF3E0" w:val="clear"/>
          </w:tcPr>
          <w:p>
            <w:pPr>
              <w:jc w:val="center"/>
            </w:pPr>
            <w:r>
              <w:rPr>
                <w:color w:val="000000"/>
                <w:sz w:val="20"/>
                <w:szCs w:val="20"/>
              </w:rPr>
              <w:t xml:space="preserve">0.90</w:t>
            </w:r>
          </w:p>
        </w:tc>
        <w:tc>
          <w:tcPr>
            <w:tcBorders>
              <w:top w:val="single" w:color="CCCCCC" w:sz="1"/>
              <w:left w:val="single" w:color="CCCCCC" w:sz="1"/>
              <w:bottom w:val="single" w:color="CCCCCC" w:sz="1"/>
              <w:right w:val="single" w:color="CCCCCC" w:sz="1"/>
            </w:tcBorders>
            <w:shd w:fill="FFF3E0" w:val="clear"/>
          </w:tcPr>
          <w:p>
            <w:pPr>
              <w:jc w:val="right"/>
            </w:pPr>
            <w:r>
              <w:rPr>
                <w:color w:val="C62828"/>
                <w:sz w:val="20"/>
                <w:szCs w:val="20"/>
              </w:rPr>
              <w:t xml:space="preserve">-22%</w:t>
            </w:r>
          </w:p>
        </w:tc>
      </w:tr>
      <w:tr>
        <w:tc>
          <w:tcPr>
            <w:tcBorders>
              <w:top w:val="single" w:color="CCCCCC" w:sz="1"/>
              <w:left w:val="single" w:color="CCCCCC" w:sz="1"/>
              <w:bottom w:val="single" w:color="CCCCCC" w:sz="1"/>
              <w:right w:val="single" w:color="CCCCCC" w:sz="1"/>
            </w:tcBorders>
            <w:shd w:fill="FFFFFF" w:val="clear"/>
          </w:tcPr>
          <w:p>
            <w:pPr>
              <w:jc w:val="left"/>
            </w:pPr>
            <w:r>
              <w:rPr>
                <w:color w:val="000000"/>
                <w:sz w:val="20"/>
                <w:szCs w:val="20"/>
              </w:rPr>
              <w:t xml:space="preserve">San Diego</w:t>
            </w:r>
          </w:p>
        </w:tc>
        <w:tc>
          <w:tcPr>
            <w:tcBorders>
              <w:top w:val="single" w:color="CCCCCC" w:sz="1"/>
              <w:left w:val="single" w:color="CCCCCC" w:sz="1"/>
              <w:bottom w:val="single" w:color="CCCCCC" w:sz="1"/>
              <w:right w:val="single" w:color="CCCCCC" w:sz="1"/>
            </w:tcBorders>
            <w:shd w:fill="FFFFFF" w:val="clear"/>
          </w:tcPr>
          <w:p>
            <w:pPr>
              <w:jc w:val="center"/>
            </w:pPr>
            <w:r>
              <w:rPr>
                <w:color w:val="000000"/>
                <w:sz w:val="20"/>
                <w:szCs w:val="20"/>
              </w:rPr>
              <w:t xml:space="preserve">0.85</w:t>
            </w:r>
          </w:p>
        </w:tc>
        <w:tc>
          <w:tcPr>
            <w:tcBorders>
              <w:top w:val="single" w:color="CCCCCC" w:sz="1"/>
              <w:left w:val="single" w:color="CCCCCC" w:sz="1"/>
              <w:bottom w:val="single" w:color="CCCCCC" w:sz="1"/>
              <w:right w:val="single" w:color="CCCCCC" w:sz="1"/>
            </w:tcBorders>
            <w:shd w:fill="FFFFFF" w:val="clear"/>
          </w:tcPr>
          <w:p>
            <w:pPr>
              <w:jc w:val="right"/>
            </w:pPr>
            <w:r>
              <w:rPr>
                <w:color w:val="C62828"/>
                <w:sz w:val="20"/>
                <w:szCs w:val="20"/>
              </w:rPr>
              <w:t xml:space="preserve">-27%</w:t>
            </w:r>
          </w:p>
        </w:tc>
      </w:tr>
      <w:tr>
        <w:tc>
          <w:tcPr>
            <w:tcBorders>
              <w:top w:val="single" w:color="CCCCCC" w:sz="1"/>
              <w:left w:val="single" w:color="CCCCCC" w:sz="1"/>
              <w:bottom w:val="single" w:color="CCCCCC" w:sz="1"/>
              <w:right w:val="single" w:color="CCCCCC" w:sz="1"/>
            </w:tcBorders>
            <w:shd w:fill="FFF3E0" w:val="clear"/>
          </w:tcPr>
          <w:p>
            <w:pPr>
              <w:jc w:val="left"/>
            </w:pPr>
            <w:r>
              <w:rPr>
                <w:color w:val="000000"/>
                <w:sz w:val="20"/>
                <w:szCs w:val="20"/>
              </w:rPr>
              <w:t xml:space="preserve">San Jose</w:t>
            </w:r>
          </w:p>
        </w:tc>
        <w:tc>
          <w:tcPr>
            <w:tcBorders>
              <w:top w:val="single" w:color="CCCCCC" w:sz="1"/>
              <w:left w:val="single" w:color="CCCCCC" w:sz="1"/>
              <w:bottom w:val="single" w:color="CCCCCC" w:sz="1"/>
              <w:right w:val="single" w:color="CCCCCC" w:sz="1"/>
            </w:tcBorders>
            <w:shd w:fill="FFF3E0" w:val="clear"/>
          </w:tcPr>
          <w:p>
            <w:pPr>
              <w:jc w:val="center"/>
            </w:pPr>
            <w:r>
              <w:rPr>
                <w:color w:val="000000"/>
                <w:sz w:val="20"/>
                <w:szCs w:val="20"/>
              </w:rPr>
              <w:t xml:space="preserve">0.64</w:t>
            </w:r>
          </w:p>
        </w:tc>
        <w:tc>
          <w:tcPr>
            <w:tcBorders>
              <w:top w:val="single" w:color="CCCCCC" w:sz="1"/>
              <w:left w:val="single" w:color="CCCCCC" w:sz="1"/>
              <w:bottom w:val="single" w:color="CCCCCC" w:sz="1"/>
              <w:right w:val="single" w:color="CCCCCC" w:sz="1"/>
            </w:tcBorders>
            <w:shd w:fill="FFF3E0" w:val="clear"/>
          </w:tcPr>
          <w:p>
            <w:pPr>
              <w:jc w:val="right"/>
            </w:pPr>
            <w:r>
              <w:rPr>
                <w:color w:val="C62828"/>
                <w:sz w:val="20"/>
                <w:szCs w:val="20"/>
              </w:rPr>
              <w:t xml:space="preserve">-45%</w:t>
            </w:r>
          </w:p>
        </w:tc>
      </w:tr>
    </w:tbl>
    <w:p>
      <w:pPr>
        <w:spacing w:before="200" w:after="100"/>
      </w:pPr>
      <w:r>
        <w:rPr>
          <w:i/>
          <w:iCs/>
          <w:color w:val="666666"/>
          <w:sz w:val="18"/>
          <w:szCs w:val="18"/>
        </w:rPr>
        <w:t xml:space="preserve">Source: CNN Investigation, FireRescue1, NFPA Research (January 2025)</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8E1" w:val="clear"/>
          </w:tcPr>
          <w:p>
            <w:pPr>
              <w:spacing w:before="100" w:after="100"/>
            </w:pPr>
            <w:r>
              <w:rPr>
                <w:b/>
                <w:bCs/>
                <w:color w:val="E65100"/>
                <w:sz w:val="20"/>
                <w:szCs w:val="20"/>
              </w:rPr>
              <w:t xml:space="preserve">KEY INSIGHT: </w:t>
            </w:r>
            <w:r>
              <w:rPr>
                <w:sz w:val="20"/>
                <w:szCs w:val="20"/>
              </w:rPr>
              <w:t xml:space="preserve">If LA County matched San Francisco's staffing ratio, it would require approximately 3,560 additional firefighters—a 74% increase in sworn personnel.</w:t>
            </w:r>
          </w:p>
        </w:tc>
      </w:tr>
    </w:tbl>
    <w:p>
      <w:r>
        <w:br w:type="page"/>
      </w:r>
    </w:p>
    <w:p>
      <w:pPr>
        <w:pStyle w:val="Heading1"/>
      </w:pPr>
      <w:r>
        <w:rPr>
          <w:color w:val="B71C1C"/>
        </w:rPr>
        <w:t xml:space="preserve">2. NFPA Standards Compliance</w:t>
      </w:r>
    </w:p>
    <w:p>
      <w:pPr>
        <w:spacing w:after="200"/>
      </w:pPr>
      <w:r>
        <w:rPr>
          <w:sz w:val="22"/>
          <w:szCs w:val="22"/>
        </w:rPr>
        <w:t xml:space="preserve">NFPA 1710 establishes minimum staffing and response time standards for career fire departments. These are not aspirational goals—they are evidence-based requirements for effective emergency response.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2000"/>
        <w:gridCol w:w="2360"/>
      </w:tblGrid>
      <w:tr>
        <w:trPr>
          <w:tblHeader/>
        </w:trPr>
        <w:tc>
          <w:tcPr>
            <w:tcBorders>
              <w:top w:val="single" w:color="CCCCCC" w:sz="1"/>
              <w:left w:val="single" w:color="CCCCCC" w:sz="1"/>
              <w:bottom w:val="single" w:color="CCCCCC" w:sz="1"/>
              <w:right w:val="single" w:color="CCCCCC" w:sz="1"/>
            </w:tcBorders>
            <w:shd w:fill="B71C1C" w:val="clear"/>
          </w:tcPr>
          <w:p>
            <w:pPr>
              <w:jc w:val="left"/>
            </w:pPr>
            <w:r>
              <w:rPr>
                <w:b/>
                <w:bCs/>
                <w:color w:val="FFFFFF"/>
                <w:sz w:val="20"/>
                <w:szCs w:val="20"/>
              </w:rPr>
              <w:t xml:space="preserve">NFPA 1710 Standard</w:t>
            </w:r>
          </w:p>
        </w:tc>
        <w:tc>
          <w:tcPr>
            <w:tcBorders>
              <w:top w:val="single" w:color="CCCCCC" w:sz="1"/>
              <w:left w:val="single" w:color="CCCCCC" w:sz="1"/>
              <w:bottom w:val="single" w:color="CCCCCC" w:sz="1"/>
              <w:right w:val="single" w:color="CCCCCC" w:sz="1"/>
            </w:tcBorders>
            <w:shd w:fill="B71C1C" w:val="clear"/>
          </w:tcPr>
          <w:p>
            <w:pPr>
              <w:jc w:val="center"/>
            </w:pPr>
            <w:r>
              <w:rPr>
                <w:b/>
                <w:bCs/>
                <w:color w:val="FFFFFF"/>
                <w:sz w:val="20"/>
                <w:szCs w:val="20"/>
              </w:rPr>
              <w:t xml:space="preserve">Requirement</w:t>
            </w:r>
          </w:p>
        </w:tc>
        <w:tc>
          <w:tcPr>
            <w:tcBorders>
              <w:top w:val="single" w:color="CCCCCC" w:sz="1"/>
              <w:left w:val="single" w:color="CCCCCC" w:sz="1"/>
              <w:bottom w:val="single" w:color="CCCCCC" w:sz="1"/>
              <w:right w:val="single" w:color="CCCCCC" w:sz="1"/>
            </w:tcBorders>
            <w:shd w:fill="B71C1C" w:val="clear"/>
          </w:tcPr>
          <w:p>
            <w:pPr>
              <w:jc w:val="center"/>
            </w:pPr>
            <w:r>
              <w:rPr>
                <w:b/>
                <w:bCs/>
                <w:color w:val="FFFFFF"/>
                <w:sz w:val="20"/>
                <w:szCs w:val="20"/>
              </w:rPr>
              <w:t xml:space="preserve">Compliance</w:t>
            </w:r>
          </w:p>
        </w:tc>
      </w:tr>
      <w:tr>
        <w:tc>
          <w:tcPr>
            <w:tcBorders>
              <w:top w:val="single" w:color="CCCCCC" w:sz="1"/>
              <w:left w:val="single" w:color="CCCCCC" w:sz="1"/>
              <w:bottom w:val="single" w:color="CCCCCC" w:sz="1"/>
              <w:right w:val="single" w:color="CCCCCC" w:sz="1"/>
            </w:tcBorders>
            <w:shd w:fill="FFF3E0" w:val="clear"/>
          </w:tcPr>
          <w:p>
            <w:pPr>
              <w:jc w:val="left"/>
            </w:pPr>
            <w:r>
              <w:rPr>
                <w:color w:val="000000"/>
                <w:sz w:val="20"/>
                <w:szCs w:val="20"/>
              </w:rPr>
              <w:t xml:space="preserve">Minimum engine/ladder crew</w:t>
            </w:r>
          </w:p>
        </w:tc>
        <w:tc>
          <w:tcPr>
            <w:tcBorders>
              <w:top w:val="single" w:color="CCCCCC" w:sz="1"/>
              <w:left w:val="single" w:color="CCCCCC" w:sz="1"/>
              <w:bottom w:val="single" w:color="CCCCCC" w:sz="1"/>
              <w:right w:val="single" w:color="CCCCCC" w:sz="1"/>
            </w:tcBorders>
            <w:shd w:fill="FFF3E0" w:val="clear"/>
          </w:tcPr>
          <w:p>
            <w:pPr>
              <w:jc w:val="center"/>
            </w:pPr>
            <w:r>
              <w:rPr>
                <w:color w:val="000000"/>
                <w:sz w:val="20"/>
                <w:szCs w:val="20"/>
              </w:rPr>
              <w:t xml:space="preserve">4 firefighters</w:t>
            </w:r>
          </w:p>
        </w:tc>
        <w:tc>
          <w:tcPr>
            <w:tcBorders>
              <w:top w:val="single" w:color="CCCCCC" w:sz="1"/>
              <w:left w:val="single" w:color="CCCCCC" w:sz="1"/>
              <w:bottom w:val="single" w:color="CCCCCC" w:sz="1"/>
              <w:right w:val="single" w:color="CCCCCC" w:sz="1"/>
            </w:tcBorders>
            <w:shd w:fill="FFF3E0" w:val="clear"/>
          </w:tcPr>
          <w:p>
            <w:pPr>
              <w:jc w:val="center"/>
            </w:pPr>
            <w:r>
              <w:rPr>
                <w:b/>
                <w:bCs/>
                <w:color w:val="E65100"/>
                <w:sz w:val="20"/>
                <w:szCs w:val="20"/>
              </w:rPr>
              <w:t xml:space="preserve">At Risk</w:t>
            </w:r>
          </w:p>
        </w:tc>
      </w:tr>
      <w:tr>
        <w:tc>
          <w:tcPr>
            <w:tcBorders>
              <w:top w:val="single" w:color="CCCCCC" w:sz="1"/>
              <w:left w:val="single" w:color="CCCCCC" w:sz="1"/>
              <w:bottom w:val="single" w:color="CCCCCC" w:sz="1"/>
              <w:right w:val="single" w:color="CCCCCC" w:sz="1"/>
            </w:tcBorders>
            <w:shd w:fill="FFFFFF" w:val="clear"/>
          </w:tcPr>
          <w:p>
            <w:pPr>
              <w:jc w:val="left"/>
            </w:pPr>
            <w:r>
              <w:rPr>
                <w:color w:val="000000"/>
                <w:sz w:val="20"/>
                <w:szCs w:val="20"/>
              </w:rPr>
              <w:t xml:space="preserve">Initial structure fire response</w:t>
            </w:r>
          </w:p>
        </w:tc>
        <w:tc>
          <w:tcPr>
            <w:tcBorders>
              <w:top w:val="single" w:color="CCCCCC" w:sz="1"/>
              <w:left w:val="single" w:color="CCCCCC" w:sz="1"/>
              <w:bottom w:val="single" w:color="CCCCCC" w:sz="1"/>
              <w:right w:val="single" w:color="CCCCCC" w:sz="1"/>
            </w:tcBorders>
            <w:shd w:fill="FFFFFF" w:val="clear"/>
          </w:tcPr>
          <w:p>
            <w:pPr>
              <w:jc w:val="center"/>
            </w:pPr>
            <w:r>
              <w:rPr>
                <w:color w:val="000000"/>
                <w:sz w:val="20"/>
                <w:szCs w:val="20"/>
              </w:rPr>
              <w:t xml:space="preserve">15-17 personnel</w:t>
            </w:r>
          </w:p>
        </w:tc>
        <w:tc>
          <w:tcPr>
            <w:tcBorders>
              <w:top w:val="single" w:color="CCCCCC" w:sz="1"/>
              <w:left w:val="single" w:color="CCCCCC" w:sz="1"/>
              <w:bottom w:val="single" w:color="CCCCCC" w:sz="1"/>
              <w:right w:val="single" w:color="CCCCCC" w:sz="1"/>
            </w:tcBorders>
            <w:shd w:fill="FFFFFF" w:val="clear"/>
          </w:tcPr>
          <w:p>
            <w:pPr>
              <w:jc w:val="center"/>
            </w:pPr>
            <w:r>
              <w:rPr>
                <w:b/>
                <w:bCs/>
                <w:color w:val="E65100"/>
                <w:sz w:val="20"/>
                <w:szCs w:val="20"/>
              </w:rPr>
              <w:t xml:space="preserve">At Risk</w:t>
            </w:r>
          </w:p>
        </w:tc>
      </w:tr>
      <w:tr>
        <w:tc>
          <w:tcPr>
            <w:tcBorders>
              <w:top w:val="single" w:color="CCCCCC" w:sz="1"/>
              <w:left w:val="single" w:color="CCCCCC" w:sz="1"/>
              <w:bottom w:val="single" w:color="CCCCCC" w:sz="1"/>
              <w:right w:val="single" w:color="CCCCCC" w:sz="1"/>
            </w:tcBorders>
            <w:shd w:fill="FFF3E0" w:val="clear"/>
          </w:tcPr>
          <w:p>
            <w:pPr>
              <w:jc w:val="left"/>
            </w:pPr>
            <w:r>
              <w:rPr>
                <w:color w:val="000000"/>
                <w:sz w:val="20"/>
                <w:szCs w:val="20"/>
              </w:rPr>
              <w:t xml:space="preserve">First engine arrival</w:t>
            </w:r>
          </w:p>
        </w:tc>
        <w:tc>
          <w:tcPr>
            <w:tcBorders>
              <w:top w:val="single" w:color="CCCCCC" w:sz="1"/>
              <w:left w:val="single" w:color="CCCCCC" w:sz="1"/>
              <w:bottom w:val="single" w:color="CCCCCC" w:sz="1"/>
              <w:right w:val="single" w:color="CCCCCC" w:sz="1"/>
            </w:tcBorders>
            <w:shd w:fill="FFF3E0" w:val="clear"/>
          </w:tcPr>
          <w:p>
            <w:pPr>
              <w:jc w:val="center"/>
            </w:pPr>
            <w:r>
              <w:rPr>
                <w:color w:val="000000"/>
                <w:sz w:val="20"/>
                <w:szCs w:val="20"/>
              </w:rPr>
              <w:t xml:space="preserve">4 minutes</w:t>
            </w:r>
          </w:p>
        </w:tc>
        <w:tc>
          <w:tcPr>
            <w:tcBorders>
              <w:top w:val="single" w:color="CCCCCC" w:sz="1"/>
              <w:left w:val="single" w:color="CCCCCC" w:sz="1"/>
              <w:bottom w:val="single" w:color="CCCCCC" w:sz="1"/>
              <w:right w:val="single" w:color="CCCCCC" w:sz="1"/>
            </w:tcBorders>
            <w:shd w:fill="FFF3E0" w:val="clear"/>
          </w:tcPr>
          <w:p>
            <w:pPr>
              <w:jc w:val="center"/>
            </w:pPr>
            <w:r>
              <w:rPr>
                <w:color w:val="E65100"/>
                <w:sz w:val="20"/>
                <w:szCs w:val="20"/>
              </w:rPr>
              <w:t xml:space="preserve">Varies</w:t>
            </w:r>
          </w:p>
        </w:tc>
      </w:tr>
      <w:tr>
        <w:tc>
          <w:tcPr>
            <w:tcBorders>
              <w:top w:val="single" w:color="CCCCCC" w:sz="1"/>
              <w:left w:val="single" w:color="CCCCCC" w:sz="1"/>
              <w:bottom w:val="single" w:color="CCCCCC" w:sz="1"/>
              <w:right w:val="single" w:color="CCCCCC" w:sz="1"/>
            </w:tcBorders>
            <w:shd w:fill="FFFFFF" w:val="clear"/>
          </w:tcPr>
          <w:p>
            <w:pPr>
              <w:jc w:val="left"/>
            </w:pPr>
            <w:r>
              <w:rPr>
                <w:color w:val="000000"/>
                <w:sz w:val="20"/>
                <w:szCs w:val="20"/>
              </w:rPr>
              <w:t xml:space="preserve">Full alarm assembly</w:t>
            </w:r>
          </w:p>
        </w:tc>
        <w:tc>
          <w:tcPr>
            <w:tcBorders>
              <w:top w:val="single" w:color="CCCCCC" w:sz="1"/>
              <w:left w:val="single" w:color="CCCCCC" w:sz="1"/>
              <w:bottom w:val="single" w:color="CCCCCC" w:sz="1"/>
              <w:right w:val="single" w:color="CCCCCC" w:sz="1"/>
            </w:tcBorders>
            <w:shd w:fill="FFFFFF" w:val="clear"/>
          </w:tcPr>
          <w:p>
            <w:pPr>
              <w:jc w:val="center"/>
            </w:pPr>
            <w:r>
              <w:rPr>
                <w:color w:val="000000"/>
                <w:sz w:val="20"/>
                <w:szCs w:val="20"/>
              </w:rPr>
              <w:t xml:space="preserve">8 minutes</w:t>
            </w:r>
          </w:p>
        </w:tc>
        <w:tc>
          <w:tcPr>
            <w:tcBorders>
              <w:top w:val="single" w:color="CCCCCC" w:sz="1"/>
              <w:left w:val="single" w:color="CCCCCC" w:sz="1"/>
              <w:bottom w:val="single" w:color="CCCCCC" w:sz="1"/>
              <w:right w:val="single" w:color="CCCCCC" w:sz="1"/>
            </w:tcBorders>
            <w:shd w:fill="FFFFFF" w:val="clear"/>
          </w:tcPr>
          <w:p>
            <w:pPr>
              <w:jc w:val="center"/>
            </w:pPr>
            <w:r>
              <w:rPr>
                <w:color w:val="E65100"/>
                <w:sz w:val="20"/>
                <w:szCs w:val="20"/>
              </w:rPr>
              <w:t xml:space="preserve">Varies</w:t>
            </w:r>
          </w:p>
        </w:tc>
      </w:tr>
      <w:tr>
        <w:tc>
          <w:tcPr>
            <w:tcBorders>
              <w:top w:val="single" w:color="CCCCCC" w:sz="1"/>
              <w:left w:val="single" w:color="CCCCCC" w:sz="1"/>
              <w:bottom w:val="single" w:color="CCCCCC" w:sz="1"/>
              <w:right w:val="single" w:color="CCCCCC" w:sz="1"/>
            </w:tcBorders>
            <w:shd w:fill="FFF3E0" w:val="clear"/>
          </w:tcPr>
          <w:p>
            <w:pPr>
              <w:jc w:val="left"/>
            </w:pPr>
            <w:r>
              <w:rPr>
                <w:color w:val="000000"/>
                <w:sz w:val="20"/>
                <w:szCs w:val="20"/>
              </w:rPr>
              <w:t xml:space="preserve">Staffing ratio (per 1,000)</w:t>
            </w:r>
          </w:p>
        </w:tc>
        <w:tc>
          <w:tcPr>
            <w:tcBorders>
              <w:top w:val="single" w:color="CCCCCC" w:sz="1"/>
              <w:left w:val="single" w:color="CCCCCC" w:sz="1"/>
              <w:bottom w:val="single" w:color="CCCCCC" w:sz="1"/>
              <w:right w:val="single" w:color="CCCCCC" w:sz="1"/>
            </w:tcBorders>
            <w:shd w:fill="FFF3E0" w:val="clear"/>
          </w:tcPr>
          <w:p>
            <w:pPr>
              <w:jc w:val="center"/>
            </w:pPr>
            <w:r>
              <w:rPr>
                <w:color w:val="000000"/>
                <w:sz w:val="20"/>
                <w:szCs w:val="20"/>
              </w:rPr>
              <w:t xml:space="preserve">0.84 - 1.30</w:t>
            </w:r>
          </w:p>
        </w:tc>
        <w:tc>
          <w:tcPr>
            <w:tcBorders>
              <w:top w:val="single" w:color="CCCCCC" w:sz="1"/>
              <w:left w:val="single" w:color="CCCCCC" w:sz="1"/>
              <w:bottom w:val="single" w:color="CCCCCC" w:sz="1"/>
              <w:right w:val="single" w:color="CCCCCC" w:sz="1"/>
            </w:tcBorders>
            <w:shd w:fill="FFF3E0" w:val="clear"/>
          </w:tcPr>
          <w:p>
            <w:pPr>
              <w:jc w:val="center"/>
            </w:pPr>
            <w:r>
              <w:rPr>
                <w:b/>
                <w:bCs/>
                <w:color w:val="2E7D32"/>
                <w:sz w:val="20"/>
                <w:szCs w:val="20"/>
              </w:rPr>
              <w:t xml:space="preserve">1.16 ✓</w:t>
            </w:r>
          </w:p>
        </w:tc>
      </w:tr>
    </w:tbl>
    <w:p>
      <w:pPr>
        <w:spacing w:before="200"/>
      </w:pPr>
      <w:r>
        <w:rPr>
          <w:b/>
          <w:bCs/>
          <w:sz w:val="22"/>
          <w:szCs w:val="22"/>
        </w:rPr>
        <w:t xml:space="preserve">Fire Chief Warning: </w:t>
      </w:r>
      <w:r>
        <w:rPr>
          <w:i/>
          <w:iCs/>
          <w:sz w:val="22"/>
          <w:szCs w:val="22"/>
        </w:rPr>
        <w:t xml:space="preserve">In December 2024, Los Angeles Fire Chief Kristin Crowley wrote in a memo that "staffing levels were half the size that a professional fire department should be, based on benchmarks recommended by the National Fire Protection Association."</w:t>
      </w:r>
    </w:p>
    <w:p>
      <w:pPr>
        <w:spacing w:before="100" w:after="100"/>
      </w:pPr>
      <w:r>
        <w:rPr>
          <w:i/>
          <w:iCs/>
          <w:color w:val="666666"/>
          <w:sz w:val="18"/>
          <w:szCs w:val="18"/>
        </w:rPr>
        <w:t xml:space="preserve">Source: CBS News, CNN (January 2025)</w:t>
      </w:r>
    </w:p>
    <w:p>
      <w:r>
        <w:br w:type="page"/>
      </w:r>
    </w:p>
    <w:p>
      <w:pPr>
        <w:pStyle w:val="Heading1"/>
      </w:pPr>
      <w:r>
        <w:rPr>
          <w:color w:val="B71C1C"/>
        </w:rPr>
        <w:t xml:space="preserve">3. Budget Analysis</w:t>
      </w:r>
    </w:p>
    <w:p>
      <w:pPr>
        <w:spacing w:after="200"/>
      </w:pPr>
      <w:r>
        <w:rPr>
          <w:sz w:val="22"/>
          <w:szCs w:val="22"/>
        </w:rPr>
        <w:t xml:space="preserve">While nominal budgets have increased, inflation has eroded real purchasing power.</w:t>
      </w:r>
    </w:p>
    <w:p>
      <w:pPr>
        <w:pStyle w:val="Heading2"/>
      </w:pPr>
      <w:r>
        <w:t xml:space="preserve">Fire Protection Expenditures (CA State Controller Data)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860"/>
      </w:tblGrid>
      <w:tr>
        <w:trPr>
          <w:tblHeader/>
        </w:trPr>
        <w:tc>
          <w:tcPr>
            <w:tcBorders>
              <w:top w:val="single" w:color="CCCCCC" w:sz="1"/>
              <w:left w:val="single" w:color="CCCCCC" w:sz="1"/>
              <w:bottom w:val="single" w:color="CCCCCC" w:sz="1"/>
              <w:right w:val="single" w:color="CCCCCC" w:sz="1"/>
            </w:tcBorders>
            <w:shd w:fill="B71C1C" w:val="clear"/>
          </w:tcPr>
          <w:p>
            <w:pPr>
              <w:jc w:val="left"/>
            </w:pPr>
            <w:r>
              <w:rPr>
                <w:b/>
                <w:bCs/>
                <w:color w:val="FFFFFF"/>
                <w:sz w:val="20"/>
                <w:szCs w:val="20"/>
              </w:rPr>
              <w:t xml:space="preserve">Fiscal Year</w:t>
            </w:r>
          </w:p>
        </w:tc>
        <w:tc>
          <w:tcPr>
            <w:tcBorders>
              <w:top w:val="single" w:color="CCCCCC" w:sz="1"/>
              <w:left w:val="single" w:color="CCCCCC" w:sz="1"/>
              <w:bottom w:val="single" w:color="CCCCCC" w:sz="1"/>
              <w:right w:val="single" w:color="CCCCCC" w:sz="1"/>
            </w:tcBorders>
            <w:shd w:fill="B71C1C" w:val="clear"/>
          </w:tcPr>
          <w:p>
            <w:pPr>
              <w:jc w:val="right"/>
            </w:pPr>
            <w:r>
              <w:rPr>
                <w:b/>
                <w:bCs/>
                <w:color w:val="FFFFFF"/>
                <w:sz w:val="20"/>
                <w:szCs w:val="20"/>
              </w:rPr>
              <w:t xml:space="preserve">Expenditures</w:t>
            </w:r>
          </w:p>
        </w:tc>
        <w:tc>
          <w:tcPr>
            <w:tcBorders>
              <w:top w:val="single" w:color="CCCCCC" w:sz="1"/>
              <w:left w:val="single" w:color="CCCCCC" w:sz="1"/>
              <w:bottom w:val="single" w:color="CCCCCC" w:sz="1"/>
              <w:right w:val="single" w:color="CCCCCC" w:sz="1"/>
            </w:tcBorders>
            <w:shd w:fill="B71C1C" w:val="clear"/>
          </w:tcPr>
          <w:p>
            <w:pPr>
              <w:jc w:val="center"/>
            </w:pPr>
            <w:r>
              <w:rPr>
                <w:b/>
                <w:bCs/>
                <w:color w:val="FFFFFF"/>
                <w:sz w:val="20"/>
                <w:szCs w:val="20"/>
              </w:rPr>
              <w:t xml:space="preserve">YoY Growth</w:t>
            </w:r>
          </w:p>
        </w:tc>
        <w:tc>
          <w:tcPr>
            <w:tcBorders>
              <w:top w:val="single" w:color="CCCCCC" w:sz="1"/>
              <w:left w:val="single" w:color="CCCCCC" w:sz="1"/>
              <w:bottom w:val="single" w:color="CCCCCC" w:sz="1"/>
              <w:right w:val="single" w:color="CCCCCC" w:sz="1"/>
            </w:tcBorders>
            <w:shd w:fill="B71C1C" w:val="clear"/>
          </w:tcPr>
          <w:p>
            <w:pPr>
              <w:jc w:val="right"/>
            </w:pPr>
            <w:r>
              <w:rPr>
                <w:b/>
                <w:bCs/>
                <w:color w:val="FFFFFF"/>
                <w:sz w:val="20"/>
                <w:szCs w:val="20"/>
              </w:rPr>
              <w:t xml:space="preserve">Per Capita</w:t>
            </w:r>
          </w:p>
        </w:tc>
      </w:tr>
      <w:tr>
        <w:tc>
          <w:tcPr>
            <w:tcBorders>
              <w:top w:val="single" w:color="CCCCCC" w:sz="1"/>
              <w:left w:val="single" w:color="CCCCCC" w:sz="1"/>
              <w:bottom w:val="single" w:color="CCCCCC" w:sz="1"/>
              <w:right w:val="single" w:color="CCCCCC" w:sz="1"/>
            </w:tcBorders>
            <w:shd w:fill="FFF3E0" w:val="clear"/>
          </w:tcPr>
          <w:p>
            <w:pPr>
              <w:jc w:val="left"/>
            </w:pPr>
            <w:r>
              <w:rPr>
                <w:b/>
                <w:bCs/>
                <w:color w:val="000000"/>
                <w:sz w:val="20"/>
                <w:szCs w:val="20"/>
              </w:rPr>
              <w:t xml:space="preserve">FY 2019-20</w:t>
            </w:r>
          </w:p>
        </w:tc>
        <w:tc>
          <w:tcPr>
            <w:tcBorders>
              <w:top w:val="single" w:color="CCCCCC" w:sz="1"/>
              <w:left w:val="single" w:color="CCCCCC" w:sz="1"/>
              <w:bottom w:val="single" w:color="CCCCCC" w:sz="1"/>
              <w:right w:val="single" w:color="CCCCCC" w:sz="1"/>
            </w:tcBorders>
            <w:shd w:fill="FFF3E0" w:val="clear"/>
          </w:tcPr>
          <w:p>
            <w:pPr>
              <w:jc w:val="right"/>
            </w:pPr>
            <w:r>
              <w:rPr>
                <w:color w:val="000000"/>
                <w:sz w:val="20"/>
                <w:szCs w:val="20"/>
              </w:rPr>
              <w:t xml:space="preserve">$1.23B</w:t>
            </w:r>
          </w:p>
        </w:tc>
        <w:tc>
          <w:tcPr>
            <w:tcBorders>
              <w:top w:val="single" w:color="CCCCCC" w:sz="1"/>
              <w:left w:val="single" w:color="CCCCCC" w:sz="1"/>
              <w:bottom w:val="single" w:color="CCCCCC" w:sz="1"/>
              <w:right w:val="single" w:color="CCCCCC" w:sz="1"/>
            </w:tcBorders>
            <w:shd w:fill="FFF3E0" w:val="clear"/>
          </w:tcPr>
          <w:p>
            <w:pPr>
              <w:jc w:val="center"/>
            </w:pPr>
            <w:r>
              <w:rPr>
                <w:color w:val="C62828"/>
                <w:sz w:val="20"/>
                <w:szCs w:val="20"/>
              </w:rPr>
              <w:t xml:space="preserve">—</w:t>
            </w:r>
          </w:p>
        </w:tc>
        <w:tc>
          <w:tcPr>
            <w:tcBorders>
              <w:top w:val="single" w:color="CCCCCC" w:sz="1"/>
              <w:left w:val="single" w:color="CCCCCC" w:sz="1"/>
              <w:bottom w:val="single" w:color="CCCCCC" w:sz="1"/>
              <w:right w:val="single" w:color="CCCCCC" w:sz="1"/>
            </w:tcBorders>
            <w:shd w:fill="FFF3E0" w:val="clear"/>
          </w:tcPr>
          <w:p>
            <w:pPr>
              <w:jc w:val="right"/>
            </w:pPr>
            <w:r>
              <w:rPr>
                <w:color w:val="000000"/>
                <w:sz w:val="20"/>
                <w:szCs w:val="20"/>
              </w:rPr>
              <w:t xml:space="preserve">$119.66</w:t>
            </w:r>
          </w:p>
        </w:tc>
      </w:tr>
      <w:tr>
        <w:tc>
          <w:tcPr>
            <w:tcBorders>
              <w:top w:val="single" w:color="CCCCCC" w:sz="1"/>
              <w:left w:val="single" w:color="CCCCCC" w:sz="1"/>
              <w:bottom w:val="single" w:color="CCCCCC" w:sz="1"/>
              <w:right w:val="single" w:color="CCCCCC" w:sz="1"/>
            </w:tcBorders>
            <w:shd w:fill="FFFFFF" w:val="clear"/>
          </w:tcPr>
          <w:p>
            <w:pPr>
              <w:jc w:val="left"/>
            </w:pPr>
            <w:r>
              <w:rPr>
                <w:b/>
                <w:bCs/>
                <w:color w:val="000000"/>
                <w:sz w:val="20"/>
                <w:szCs w:val="20"/>
              </w:rPr>
              <w:t xml:space="preserve">FY 2020-21</w:t>
            </w:r>
          </w:p>
        </w:tc>
        <w:tc>
          <w:tcPr>
            <w:tcBorders>
              <w:top w:val="single" w:color="CCCCCC" w:sz="1"/>
              <w:left w:val="single" w:color="CCCCCC" w:sz="1"/>
              <w:bottom w:val="single" w:color="CCCCCC" w:sz="1"/>
              <w:right w:val="single" w:color="CCCCCC" w:sz="1"/>
            </w:tcBorders>
            <w:shd w:fill="FFFFFF" w:val="clear"/>
          </w:tcPr>
          <w:p>
            <w:pPr>
              <w:jc w:val="right"/>
            </w:pPr>
            <w:r>
              <w:rPr>
                <w:color w:val="000000"/>
                <w:sz w:val="20"/>
                <w:szCs w:val="20"/>
              </w:rPr>
              <w:t xml:space="preserve">$1.25B</w:t>
            </w:r>
          </w:p>
        </w:tc>
        <w:tc>
          <w:tcPr>
            <w:tcBorders>
              <w:top w:val="single" w:color="CCCCCC" w:sz="1"/>
              <w:left w:val="single" w:color="CCCCCC" w:sz="1"/>
              <w:bottom w:val="single" w:color="CCCCCC" w:sz="1"/>
              <w:right w:val="single" w:color="CCCCCC" w:sz="1"/>
            </w:tcBorders>
            <w:shd w:fill="FFFFFF" w:val="clear"/>
          </w:tcPr>
          <w:p>
            <w:pPr>
              <w:jc w:val="center"/>
            </w:pPr>
            <w:r>
              <w:rPr>
                <w:color w:val="2E7D32"/>
                <w:sz w:val="20"/>
                <w:szCs w:val="20"/>
              </w:rPr>
              <w:t xml:space="preserve">+2.0%</w:t>
            </w:r>
          </w:p>
        </w:tc>
        <w:tc>
          <w:tcPr>
            <w:tcBorders>
              <w:top w:val="single" w:color="CCCCCC" w:sz="1"/>
              <w:left w:val="single" w:color="CCCCCC" w:sz="1"/>
              <w:bottom w:val="single" w:color="CCCCCC" w:sz="1"/>
              <w:right w:val="single" w:color="CCCCCC" w:sz="1"/>
            </w:tcBorders>
            <w:shd w:fill="FFFFFF" w:val="clear"/>
          </w:tcPr>
          <w:p>
            <w:pPr>
              <w:jc w:val="right"/>
            </w:pPr>
            <w:r>
              <w:rPr>
                <w:color w:val="000000"/>
                <w:sz w:val="20"/>
                <w:szCs w:val="20"/>
              </w:rPr>
              <w:t xml:space="preserve">$122.98</w:t>
            </w:r>
          </w:p>
        </w:tc>
      </w:tr>
      <w:tr>
        <w:tc>
          <w:tcPr>
            <w:tcBorders>
              <w:top w:val="single" w:color="CCCCCC" w:sz="1"/>
              <w:left w:val="single" w:color="CCCCCC" w:sz="1"/>
              <w:bottom w:val="single" w:color="CCCCCC" w:sz="1"/>
              <w:right w:val="single" w:color="CCCCCC" w:sz="1"/>
            </w:tcBorders>
            <w:shd w:fill="FFF3E0" w:val="clear"/>
          </w:tcPr>
          <w:p>
            <w:pPr>
              <w:jc w:val="left"/>
            </w:pPr>
            <w:r>
              <w:rPr>
                <w:b/>
                <w:bCs/>
                <w:color w:val="000000"/>
                <w:sz w:val="20"/>
                <w:szCs w:val="20"/>
              </w:rPr>
              <w:t xml:space="preserve">FY 2021-22</w:t>
            </w:r>
          </w:p>
        </w:tc>
        <w:tc>
          <w:tcPr>
            <w:tcBorders>
              <w:top w:val="single" w:color="CCCCCC" w:sz="1"/>
              <w:left w:val="single" w:color="CCCCCC" w:sz="1"/>
              <w:bottom w:val="single" w:color="CCCCCC" w:sz="1"/>
              <w:right w:val="single" w:color="CCCCCC" w:sz="1"/>
            </w:tcBorders>
            <w:shd w:fill="FFF3E0" w:val="clear"/>
          </w:tcPr>
          <w:p>
            <w:pPr>
              <w:jc w:val="right"/>
            </w:pPr>
            <w:r>
              <w:rPr>
                <w:color w:val="000000"/>
                <w:sz w:val="20"/>
                <w:szCs w:val="20"/>
              </w:rPr>
              <w:t xml:space="preserve">$1.33B</w:t>
            </w:r>
          </w:p>
        </w:tc>
        <w:tc>
          <w:tcPr>
            <w:tcBorders>
              <w:top w:val="single" w:color="CCCCCC" w:sz="1"/>
              <w:left w:val="single" w:color="CCCCCC" w:sz="1"/>
              <w:bottom w:val="single" w:color="CCCCCC" w:sz="1"/>
              <w:right w:val="single" w:color="CCCCCC" w:sz="1"/>
            </w:tcBorders>
            <w:shd w:fill="FFF3E0" w:val="clear"/>
          </w:tcPr>
          <w:p>
            <w:pPr>
              <w:jc w:val="center"/>
            </w:pPr>
            <w:r>
              <w:rPr>
                <w:color w:val="2E7D32"/>
                <w:sz w:val="20"/>
                <w:szCs w:val="20"/>
              </w:rPr>
              <w:t xml:space="preserve">+6.2%</w:t>
            </w:r>
          </w:p>
        </w:tc>
        <w:tc>
          <w:tcPr>
            <w:tcBorders>
              <w:top w:val="single" w:color="CCCCCC" w:sz="1"/>
              <w:left w:val="single" w:color="CCCCCC" w:sz="1"/>
              <w:bottom w:val="single" w:color="CCCCCC" w:sz="1"/>
              <w:right w:val="single" w:color="CCCCCC" w:sz="1"/>
            </w:tcBorders>
            <w:shd w:fill="FFF3E0" w:val="clear"/>
          </w:tcPr>
          <w:p>
            <w:pPr>
              <w:jc w:val="right"/>
            </w:pPr>
            <w:r>
              <w:rPr>
                <w:color w:val="000000"/>
                <w:sz w:val="20"/>
                <w:szCs w:val="20"/>
              </w:rPr>
              <w:t xml:space="preserve">$133.83</w:t>
            </w:r>
          </w:p>
        </w:tc>
      </w:tr>
      <w:tr>
        <w:tc>
          <w:tcPr>
            <w:tcBorders>
              <w:top w:val="single" w:color="CCCCCC" w:sz="1"/>
              <w:left w:val="single" w:color="CCCCCC" w:sz="1"/>
              <w:bottom w:val="single" w:color="CCCCCC" w:sz="1"/>
              <w:right w:val="single" w:color="CCCCCC" w:sz="1"/>
            </w:tcBorders>
            <w:shd w:fill="FFFFFF" w:val="clear"/>
          </w:tcPr>
          <w:p>
            <w:pPr>
              <w:jc w:val="left"/>
            </w:pPr>
            <w:r>
              <w:rPr>
                <w:b/>
                <w:bCs/>
                <w:color w:val="000000"/>
                <w:sz w:val="20"/>
                <w:szCs w:val="20"/>
              </w:rPr>
              <w:t xml:space="preserve">FY 2022-23</w:t>
            </w:r>
          </w:p>
        </w:tc>
        <w:tc>
          <w:tcPr>
            <w:tcBorders>
              <w:top w:val="single" w:color="CCCCCC" w:sz="1"/>
              <w:left w:val="single" w:color="CCCCCC" w:sz="1"/>
              <w:bottom w:val="single" w:color="CCCCCC" w:sz="1"/>
              <w:right w:val="single" w:color="CCCCCC" w:sz="1"/>
            </w:tcBorders>
            <w:shd w:fill="FFFFFF" w:val="clear"/>
          </w:tcPr>
          <w:p>
            <w:pPr>
              <w:jc w:val="right"/>
            </w:pPr>
            <w:r>
              <w:rPr>
                <w:color w:val="000000"/>
                <w:sz w:val="20"/>
                <w:szCs w:val="20"/>
              </w:rPr>
              <w:t xml:space="preserve">$1.44B</w:t>
            </w:r>
          </w:p>
        </w:tc>
        <w:tc>
          <w:tcPr>
            <w:tcBorders>
              <w:top w:val="single" w:color="CCCCCC" w:sz="1"/>
              <w:left w:val="single" w:color="CCCCCC" w:sz="1"/>
              <w:bottom w:val="single" w:color="CCCCCC" w:sz="1"/>
              <w:right w:val="single" w:color="CCCCCC" w:sz="1"/>
            </w:tcBorders>
            <w:shd w:fill="FFFFFF" w:val="clear"/>
          </w:tcPr>
          <w:p>
            <w:pPr>
              <w:jc w:val="center"/>
            </w:pPr>
            <w:r>
              <w:rPr>
                <w:color w:val="2E7D32"/>
                <w:sz w:val="20"/>
                <w:szCs w:val="20"/>
              </w:rPr>
              <w:t xml:space="preserve">+8.6%</w:t>
            </w:r>
          </w:p>
        </w:tc>
        <w:tc>
          <w:tcPr>
            <w:tcBorders>
              <w:top w:val="single" w:color="CCCCCC" w:sz="1"/>
              <w:left w:val="single" w:color="CCCCCC" w:sz="1"/>
              <w:bottom w:val="single" w:color="CCCCCC" w:sz="1"/>
              <w:right w:val="single" w:color="CCCCCC" w:sz="1"/>
            </w:tcBorders>
            <w:shd w:fill="FFFFFF" w:val="clear"/>
          </w:tcPr>
          <w:p>
            <w:pPr>
              <w:jc w:val="right"/>
            </w:pPr>
            <w:r>
              <w:rPr>
                <w:color w:val="000000"/>
                <w:sz w:val="20"/>
                <w:szCs w:val="20"/>
              </w:rPr>
              <w:t xml:space="preserve">$146.42</w:t>
            </w:r>
          </w:p>
        </w:tc>
      </w:tr>
      <w:tr>
        <w:tc>
          <w:tcPr>
            <w:tcBorders>
              <w:top w:val="single" w:color="CCCCCC" w:sz="1"/>
              <w:left w:val="single" w:color="CCCCCC" w:sz="1"/>
              <w:bottom w:val="single" w:color="CCCCCC" w:sz="1"/>
              <w:right w:val="single" w:color="CCCCCC" w:sz="1"/>
            </w:tcBorders>
            <w:shd w:fill="FFF3E0" w:val="clear"/>
          </w:tcPr>
          <w:p>
            <w:pPr>
              <w:jc w:val="left"/>
            </w:pPr>
            <w:r>
              <w:rPr>
                <w:b/>
                <w:bCs/>
                <w:color w:val="000000"/>
                <w:sz w:val="20"/>
                <w:szCs w:val="20"/>
              </w:rPr>
              <w:t xml:space="preserve">FY 2023-24</w:t>
            </w:r>
          </w:p>
        </w:tc>
        <w:tc>
          <w:tcPr>
            <w:tcBorders>
              <w:top w:val="single" w:color="CCCCCC" w:sz="1"/>
              <w:left w:val="single" w:color="CCCCCC" w:sz="1"/>
              <w:bottom w:val="single" w:color="CCCCCC" w:sz="1"/>
              <w:right w:val="single" w:color="CCCCCC" w:sz="1"/>
            </w:tcBorders>
            <w:shd w:fill="FFF3E0" w:val="clear"/>
          </w:tcPr>
          <w:p>
            <w:pPr>
              <w:jc w:val="right"/>
            </w:pPr>
            <w:r>
              <w:rPr>
                <w:color w:val="000000"/>
                <w:sz w:val="20"/>
                <w:szCs w:val="20"/>
              </w:rPr>
              <w:t xml:space="preserve">$1.50B</w:t>
            </w:r>
          </w:p>
        </w:tc>
        <w:tc>
          <w:tcPr>
            <w:tcBorders>
              <w:top w:val="single" w:color="CCCCCC" w:sz="1"/>
              <w:left w:val="single" w:color="CCCCCC" w:sz="1"/>
              <w:bottom w:val="single" w:color="CCCCCC" w:sz="1"/>
              <w:right w:val="single" w:color="CCCCCC" w:sz="1"/>
            </w:tcBorders>
            <w:shd w:fill="FFF3E0" w:val="clear"/>
          </w:tcPr>
          <w:p>
            <w:pPr>
              <w:jc w:val="center"/>
            </w:pPr>
            <w:r>
              <w:rPr>
                <w:color w:val="2E7D32"/>
                <w:sz w:val="20"/>
                <w:szCs w:val="20"/>
              </w:rPr>
              <w:t xml:space="preserve">+3.6%</w:t>
            </w:r>
          </w:p>
        </w:tc>
        <w:tc>
          <w:tcPr>
            <w:tcBorders>
              <w:top w:val="single" w:color="CCCCCC" w:sz="1"/>
              <w:left w:val="single" w:color="CCCCCC" w:sz="1"/>
              <w:bottom w:val="single" w:color="CCCCCC" w:sz="1"/>
              <w:right w:val="single" w:color="CCCCCC" w:sz="1"/>
            </w:tcBorders>
            <w:shd w:fill="FFF3E0" w:val="clear"/>
          </w:tcPr>
          <w:p>
            <w:pPr>
              <w:jc w:val="right"/>
            </w:pPr>
            <w:r>
              <w:rPr>
                <w:color w:val="000000"/>
                <w:sz w:val="20"/>
                <w:szCs w:val="20"/>
              </w:rPr>
              <w:t xml:space="preserve">$153.31</w:t>
            </w:r>
          </w:p>
        </w:tc>
      </w:tr>
      <w:tr>
        <w:tc>
          <w:tcPr>
            <w:tcBorders>
              <w:top w:val="single" w:color="CCCCCC" w:sz="1"/>
              <w:left w:val="single" w:color="CCCCCC" w:sz="1"/>
              <w:bottom w:val="single" w:color="CCCCCC" w:sz="1"/>
              <w:right w:val="single" w:color="CCCCCC" w:sz="1"/>
            </w:tcBorders>
            <w:shd w:fill="FFFFFF" w:val="clear"/>
          </w:tcPr>
          <w:p>
            <w:pPr>
              <w:jc w:val="left"/>
            </w:pPr>
            <w:r>
              <w:rPr>
                <w:b/>
                <w:bCs/>
                <w:color w:val="000000"/>
                <w:sz w:val="20"/>
                <w:szCs w:val="20"/>
              </w:rPr>
              <w:t xml:space="preserve">FY 2024-25</w:t>
            </w:r>
          </w:p>
        </w:tc>
        <w:tc>
          <w:tcPr>
            <w:tcBorders>
              <w:top w:val="single" w:color="CCCCCC" w:sz="1"/>
              <w:left w:val="single" w:color="CCCCCC" w:sz="1"/>
              <w:bottom w:val="single" w:color="CCCCCC" w:sz="1"/>
              <w:right w:val="single" w:color="CCCCCC" w:sz="1"/>
            </w:tcBorders>
            <w:shd w:fill="FFFFFF" w:val="clear"/>
          </w:tcPr>
          <w:p>
            <w:pPr>
              <w:jc w:val="right"/>
            </w:pPr>
            <w:r>
              <w:rPr>
                <w:color w:val="000000"/>
                <w:sz w:val="20"/>
                <w:szCs w:val="20"/>
              </w:rPr>
              <w:t xml:space="preserve">$1.54B</w:t>
            </w:r>
          </w:p>
        </w:tc>
        <w:tc>
          <w:tcPr>
            <w:tcBorders>
              <w:top w:val="single" w:color="CCCCCC" w:sz="1"/>
              <w:left w:val="single" w:color="CCCCCC" w:sz="1"/>
              <w:bottom w:val="single" w:color="CCCCCC" w:sz="1"/>
              <w:right w:val="single" w:color="CCCCCC" w:sz="1"/>
            </w:tcBorders>
            <w:shd w:fill="FFFFFF" w:val="clear"/>
          </w:tcPr>
          <w:p>
            <w:pPr>
              <w:jc w:val="center"/>
            </w:pPr>
            <w:r>
              <w:rPr>
                <w:color w:val="2E7D32"/>
                <w:sz w:val="20"/>
                <w:szCs w:val="20"/>
              </w:rPr>
              <w:t xml:space="preserve">+2.6%</w:t>
            </w:r>
          </w:p>
        </w:tc>
        <w:tc>
          <w:tcPr>
            <w:tcBorders>
              <w:top w:val="single" w:color="CCCCCC" w:sz="1"/>
              <w:left w:val="single" w:color="CCCCCC" w:sz="1"/>
              <w:bottom w:val="single" w:color="CCCCCC" w:sz="1"/>
              <w:right w:val="single" w:color="CCCCCC" w:sz="1"/>
            </w:tcBorders>
            <w:shd w:fill="FFFFFF" w:val="clear"/>
          </w:tcPr>
          <w:p>
            <w:pPr>
              <w:jc w:val="right"/>
            </w:pPr>
            <w:r>
              <w:rPr>
                <w:color w:val="000000"/>
                <w:sz w:val="20"/>
                <w:szCs w:val="20"/>
              </w:rPr>
              <w:t xml:space="preserve">$156.32</w:t>
            </w:r>
          </w:p>
        </w:tc>
      </w:tr>
    </w:tbl>
    <w:p>
      <w:pPr>
        <w:spacing w:after="200"/>
      </w:pPr>
    </w:p>
    <w:p>
      <w:pPr>
        <w:pStyle w:val="Heading2"/>
      </w:pPr>
      <w:r>
        <w:t xml:space="preserve">Inflation-Adjusted Analysis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Borders>
              <w:top w:val="single" w:color="CCCCCC" w:sz="1"/>
              <w:left w:val="single" w:color="CCCCCC" w:sz="1"/>
              <w:bottom w:val="single" w:color="CCCCCC" w:sz="1"/>
              <w:right w:val="single" w:color="CCCCCC" w:sz="1"/>
            </w:tcBorders>
            <w:shd w:fill="E3F2FD" w:val="clear"/>
          </w:tcPr>
          <w:p>
            <w:pPr>
              <w:jc w:val="left"/>
            </w:pPr>
            <w:r>
              <w:rPr>
                <w:b/>
                <w:bCs/>
                <w:color w:val="000000"/>
                <w:sz w:val="20"/>
                <w:szCs w:val="20"/>
              </w:rPr>
              <w:t xml:space="preserve">Metric</w:t>
            </w:r>
          </w:p>
        </w:tc>
        <w:tc>
          <w:tcPr>
            <w:tcBorders>
              <w:top w:val="single" w:color="CCCCCC" w:sz="1"/>
              <w:left w:val="single" w:color="CCCCCC" w:sz="1"/>
              <w:bottom w:val="single" w:color="CCCCCC" w:sz="1"/>
              <w:right w:val="single" w:color="CCCCCC" w:sz="1"/>
            </w:tcBorders>
            <w:shd w:fill="E3F2FD" w:val="clear"/>
          </w:tcPr>
          <w:p>
            <w:pPr>
              <w:jc w:val="right"/>
            </w:pPr>
            <w:r>
              <w:rPr>
                <w:b/>
                <w:bCs/>
                <w:color w:val="000000"/>
                <w:sz w:val="20"/>
                <w:szCs w:val="20"/>
              </w:rPr>
              <w:t xml:space="preserve">Value</w:t>
            </w:r>
          </w:p>
        </w:tc>
      </w:tr>
      <w:tr>
        <w:tc>
          <w:tcPr>
            <w:tcBorders>
              <w:top w:val="single" w:color="CCCCCC" w:sz="1"/>
              <w:left w:val="single" w:color="CCCCCC" w:sz="1"/>
              <w:bottom w:val="single" w:color="CCCCCC" w:sz="1"/>
              <w:right w:val="single" w:color="CCCCCC" w:sz="1"/>
            </w:tcBorders>
            <w:shd w:fill="FFFFFF" w:val="clear"/>
          </w:tcPr>
          <w:p>
            <w:pPr>
              <w:jc w:val="left"/>
            </w:pPr>
            <w:r>
              <w:rPr>
                <w:color w:val="000000"/>
                <w:sz w:val="20"/>
                <w:szCs w:val="20"/>
              </w:rPr>
              <w:t xml:space="preserve">Nominal Budget Growth (FY20→FY25)</w:t>
            </w:r>
          </w:p>
        </w:tc>
        <w:tc>
          <w:tcPr>
            <w:tcBorders>
              <w:top w:val="single" w:color="CCCCCC" w:sz="1"/>
              <w:left w:val="single" w:color="CCCCCC" w:sz="1"/>
              <w:bottom w:val="single" w:color="CCCCCC" w:sz="1"/>
              <w:right w:val="single" w:color="CCCCCC" w:sz="1"/>
            </w:tcBorders>
            <w:shd w:fill="FFFFFF" w:val="clear"/>
          </w:tcPr>
          <w:p>
            <w:pPr>
              <w:jc w:val="right"/>
            </w:pPr>
            <w:r>
              <w:rPr>
                <w:b/>
                <w:bCs/>
                <w:color w:val="2E7D32"/>
                <w:sz w:val="20"/>
                <w:szCs w:val="20"/>
              </w:rPr>
              <w:t xml:space="preserve">+25.2%</w:t>
            </w:r>
          </w:p>
        </w:tc>
      </w:tr>
      <w:tr>
        <w:tc>
          <w:tcPr>
            <w:tcBorders>
              <w:top w:val="single" w:color="CCCCCC" w:sz="1"/>
              <w:left w:val="single" w:color="CCCCCC" w:sz="1"/>
              <w:bottom w:val="single" w:color="CCCCCC" w:sz="1"/>
              <w:right w:val="single" w:color="CCCCCC" w:sz="1"/>
            </w:tcBorders>
            <w:shd w:fill="FFF3E0" w:val="clear"/>
          </w:tcPr>
          <w:p>
            <w:pPr>
              <w:jc w:val="left"/>
            </w:pPr>
            <w:r>
              <w:rPr>
                <w:color w:val="000000"/>
                <w:sz w:val="20"/>
                <w:szCs w:val="20"/>
              </w:rPr>
              <w:t xml:space="preserve">LA Area Inflation (2019-2024)</w:t>
            </w:r>
          </w:p>
        </w:tc>
        <w:tc>
          <w:tcPr>
            <w:tcBorders>
              <w:top w:val="single" w:color="CCCCCC" w:sz="1"/>
              <w:left w:val="single" w:color="CCCCCC" w:sz="1"/>
              <w:bottom w:val="single" w:color="CCCCCC" w:sz="1"/>
              <w:right w:val="single" w:color="CCCCCC" w:sz="1"/>
            </w:tcBorders>
            <w:shd w:fill="FFF3E0" w:val="clear"/>
          </w:tcPr>
          <w:p>
            <w:pPr>
              <w:jc w:val="right"/>
            </w:pPr>
            <w:r>
              <w:rPr>
                <w:color w:val="C62828"/>
                <w:sz w:val="20"/>
                <w:szCs w:val="20"/>
              </w:rPr>
              <w:t xml:space="preserve">+20.1%</w:t>
            </w:r>
          </w:p>
        </w:tc>
      </w:tr>
      <w:tr>
        <w:tc>
          <w:tcPr>
            <w:tcBorders>
              <w:top w:val="single" w:color="CCCCCC" w:sz="1"/>
              <w:left w:val="single" w:color="CCCCCC" w:sz="1"/>
              <w:bottom w:val="single" w:color="CCCCCC" w:sz="1"/>
              <w:right w:val="single" w:color="CCCCCC" w:sz="1"/>
            </w:tcBorders>
            <w:shd w:fill="FFFFFF" w:val="clear"/>
          </w:tcPr>
          <w:p>
            <w:pPr>
              <w:jc w:val="left"/>
            </w:pPr>
            <w:r>
              <w:rPr>
                <w:color w:val="000000"/>
                <w:sz w:val="20"/>
                <w:szCs w:val="20"/>
              </w:rPr>
              <w:t xml:space="preserve">REAL Budget Growth (Inflation-Adjusted)</w:t>
            </w:r>
          </w:p>
        </w:tc>
        <w:tc>
          <w:tcPr>
            <w:tcBorders>
              <w:top w:val="single" w:color="CCCCCC" w:sz="1"/>
              <w:left w:val="single" w:color="CCCCCC" w:sz="1"/>
              <w:bottom w:val="single" w:color="CCCCCC" w:sz="1"/>
              <w:right w:val="single" w:color="CCCCCC" w:sz="1"/>
            </w:tcBorders>
            <w:shd w:fill="FFFFFF" w:val="clear"/>
          </w:tcPr>
          <w:p>
            <w:pPr>
              <w:jc w:val="right"/>
            </w:pPr>
            <w:r>
              <w:rPr>
                <w:b/>
                <w:bCs/>
                <w:color w:val="E65100"/>
                <w:sz w:val="20"/>
                <w:szCs w:val="20"/>
              </w:rPr>
              <w:t xml:space="preserve">+5.1%</w:t>
            </w:r>
          </w:p>
        </w:tc>
      </w:tr>
      <w:tr>
        <w:tc>
          <w:tcPr>
            <w:tcBorders>
              <w:top w:val="single" w:color="CCCCCC" w:sz="1"/>
              <w:left w:val="single" w:color="CCCCCC" w:sz="1"/>
              <w:bottom w:val="single" w:color="CCCCCC" w:sz="1"/>
              <w:right w:val="single" w:color="CCCCCC" w:sz="1"/>
            </w:tcBorders>
            <w:shd w:fill="FFF3E0" w:val="clear"/>
          </w:tcPr>
          <w:p>
            <w:pPr>
              <w:jc w:val="left"/>
            </w:pPr>
            <w:r>
              <w:rPr>
                <w:color w:val="000000"/>
                <w:sz w:val="20"/>
                <w:szCs w:val="20"/>
              </w:rPr>
              <w:t xml:space="preserve">Annual Real Growth Rate</w:t>
            </w:r>
          </w:p>
        </w:tc>
        <w:tc>
          <w:tcPr>
            <w:tcBorders>
              <w:top w:val="single" w:color="CCCCCC" w:sz="1"/>
              <w:left w:val="single" w:color="CCCCCC" w:sz="1"/>
              <w:bottom w:val="single" w:color="CCCCCC" w:sz="1"/>
              <w:right w:val="single" w:color="CCCCCC" w:sz="1"/>
            </w:tcBorders>
            <w:shd w:fill="FFF3E0" w:val="clear"/>
          </w:tcPr>
          <w:p>
            <w:pPr>
              <w:jc w:val="right"/>
            </w:pPr>
            <w:r>
              <w:rPr>
                <w:color w:val="000000"/>
                <w:sz w:val="20"/>
                <w:szCs w:val="20"/>
              </w:rPr>
              <w:t xml:space="preserve">+1.0% per year</w:t>
            </w:r>
          </w:p>
        </w:tc>
      </w:tr>
    </w:tbl>
    <w:p>
      <w:pPr>
        <w:spacing w:before="200"/>
      </w:pPr>
      <w:r>
        <w:rPr>
          <w:sz w:val="22"/>
          <w:szCs w:val="22"/>
        </w:rPr>
        <w:t xml:space="preserve">Analysis: While the budget has grown 25.2% nominally, after accounting for 20.1% cumulative inflation, real purchasing power has increased only 5.1% over five years—an average of just 1.0% annually. This is barely keeping pace with population demands, let alone addressing the staffing crisis.</w:t>
      </w:r>
    </w:p>
    <w:p>
      <w:r>
        <w:br w:type="page"/>
      </w:r>
    </w:p>
    <w:p>
      <w:pPr>
        <w:pStyle w:val="Heading1"/>
      </w:pPr>
      <w:r>
        <w:rPr>
          <w:color w:val="B71C1C"/>
        </w:rPr>
        <w:t xml:space="preserve">4. The Case for Immediate Action</w:t>
      </w:r>
    </w:p>
    <w:p>
      <w:pPr>
        <w:spacing w:after="200"/>
      </w:pPr>
      <w:r>
        <w:rPr>
          <w:sz w:val="22"/>
          <w:szCs w:val="22"/>
        </w:rPr>
        <w:t xml:space="preserve">The data supports an urgent need for increased fire department funding and staffing:</w:t>
      </w:r>
    </w:p>
    <w:p>
      <w:pPr>
        <w:pStyle w:val="Heading2"/>
      </w:pPr>
      <w:r>
        <w:t xml:space="preserve">Argument 1: Public Safety Risk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EBEE" w:val="clear"/>
          </w:tcPr>
          <w:p>
            <w:pPr>
              <w:spacing w:before="100" w:after="100"/>
            </w:pPr>
            <w:r>
              <w:rPr>
                <w:sz w:val="22"/>
                <w:szCs w:val="22"/>
              </w:rPr>
              <w:t xml:space="preserve">Current staffing levels put both firefighters and the public at risk. With a staffing ratio 45% below San Francisco and at the low end of NFPA guidelines, response times and firefighting effectiveness are compromised. A January 2025 CNN investigation confirmed LA fire departments are "among the most understaffed in America."</w:t>
            </w:r>
          </w:p>
        </w:tc>
      </w:tr>
    </w:tbl>
    <w:p>
      <w:pPr>
        <w:pStyle w:val="Heading2"/>
        <w:spacing w:before="200"/>
      </w:pPr>
      <w:r>
        <w:t xml:space="preserve">Argument 2: Budget Has Not Kept Pace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3E0" w:val="clear"/>
          </w:tcPr>
          <w:p>
            <w:pPr>
              <w:spacing w:before="100" w:after="100"/>
            </w:pPr>
            <w:r>
              <w:rPr>
                <w:sz w:val="22"/>
                <w:szCs w:val="22"/>
              </w:rPr>
              <w:t xml:space="preserve">Real (inflation-adjusted) budget growth of 5.1% over five years averages less than 1.1% annually—barely keeping pace with existing operations, let alone addressing the documented staffing shortfall. Meanwhile, the wildfire threat has intensified dramatically.</w:t>
            </w:r>
          </w:p>
        </w:tc>
      </w:tr>
    </w:tbl>
    <w:p>
      <w:pPr>
        <w:pStyle w:val="Heading2"/>
        <w:spacing w:before="200"/>
      </w:pPr>
      <w:r>
        <w:t xml:space="preserve">Argument 3: Industry Standards Require More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3F2FD" w:val="clear"/>
          </w:tcPr>
          <w:p>
            <w:pPr>
              <w:spacing w:before="100" w:after="100"/>
            </w:pPr>
            <w:r>
              <w:rPr>
                <w:sz w:val="22"/>
                <w:szCs w:val="22"/>
              </w:rPr>
              <w:t xml:space="preserve">NFPA 1710 standards call for specific staffing levels to ensure safe and effective operations. Fire Chief Kristin Crowley stated that current staffing is "half the size that a professional fire department should be" per NFPA benchmarks. To match peer city standards, LACoFD would need approximately 3,560 additional firefighters.</w:t>
            </w:r>
          </w:p>
        </w:tc>
      </w:tr>
    </w:tbl>
    <w:p>
      <w:r>
        <w:br w:type="page"/>
      </w:r>
    </w:p>
    <w:p>
      <w:pPr>
        <w:pStyle w:val="Heading1"/>
      </w:pPr>
      <w:r>
        <w:rPr>
          <w:color w:val="B71C1C"/>
        </w:rPr>
        <w:t xml:space="preserve">5. Recommendations</w:t>
      </w:r>
    </w:p>
    <w:p>
      <w:pPr>
        <w:pStyle w:val="ListParagraph"/>
        <w:numPr>
          <w:ilvl w:val="0"/>
          <w:numId w:val="2"/>
        </w:numPr>
        <w:spacing w:before="200"/>
      </w:pPr>
      <w:r>
        <w:rPr>
          <w:b/>
          <w:bCs/>
          <w:sz w:val="22"/>
          <w:szCs w:val="22"/>
        </w:rPr>
        <w:t xml:space="preserve">Immediate Staffing Review: </w:t>
      </w:r>
      <w:r>
        <w:rPr>
          <w:sz w:val="22"/>
          <w:szCs w:val="22"/>
        </w:rPr>
        <w:t xml:space="preserve">Commission an independent analysis of current staffing versus NFPA 1710 requirements for all battalion areas.</w:t>
      </w:r>
    </w:p>
    <w:p>
      <w:pPr>
        <w:pStyle w:val="ListParagraph"/>
        <w:numPr>
          <w:ilvl w:val="0"/>
          <w:numId w:val="2"/>
        </w:numPr>
      </w:pPr>
      <w:r>
        <w:rPr>
          <w:b/>
          <w:bCs/>
          <w:sz w:val="22"/>
          <w:szCs w:val="22"/>
        </w:rPr>
        <w:t xml:space="preserve">Budget Restoration: </w:t>
      </w:r>
      <w:r>
        <w:rPr>
          <w:sz w:val="22"/>
          <w:szCs w:val="22"/>
        </w:rPr>
        <w:t xml:space="preserve">Advocate for budget increases that exceed inflation to address accumulated shortfalls and fund new positions.</w:t>
      </w:r>
    </w:p>
    <w:p>
      <w:pPr>
        <w:pStyle w:val="ListParagraph"/>
        <w:numPr>
          <w:ilvl w:val="0"/>
          <w:numId w:val="2"/>
        </w:numPr>
      </w:pPr>
      <w:r>
        <w:rPr>
          <w:b/>
          <w:bCs/>
          <w:sz w:val="22"/>
          <w:szCs w:val="22"/>
        </w:rPr>
        <w:t xml:space="preserve">Hiring Initiative: </w:t>
      </w:r>
      <w:r>
        <w:rPr>
          <w:sz w:val="22"/>
          <w:szCs w:val="22"/>
        </w:rPr>
        <w:t xml:space="preserve">Develop a multi-year hiring plan to close the staffing gap with peer departments.</w:t>
      </w:r>
    </w:p>
    <w:p>
      <w:pPr>
        <w:pStyle w:val="ListParagraph"/>
        <w:numPr>
          <w:ilvl w:val="0"/>
          <w:numId w:val="2"/>
        </w:numPr>
      </w:pPr>
      <w:r>
        <w:rPr>
          <w:b/>
          <w:bCs/>
          <w:sz w:val="22"/>
          <w:szCs w:val="22"/>
        </w:rPr>
        <w:t xml:space="preserve">Public Awareness: </w:t>
      </w:r>
      <w:r>
        <w:rPr>
          <w:sz w:val="22"/>
          <w:szCs w:val="22"/>
        </w:rPr>
        <w:t xml:space="preserve">Use this data to educate the public and elected officials about the staffing crisis.</w:t>
      </w:r>
    </w:p>
    <w:p>
      <w:pPr>
        <w:pStyle w:val="ListParagraph"/>
        <w:numPr>
          <w:ilvl w:val="0"/>
          <w:numId w:val="2"/>
        </w:numPr>
      </w:pPr>
      <w:r>
        <w:rPr>
          <w:b/>
          <w:bCs/>
          <w:sz w:val="22"/>
          <w:szCs w:val="22"/>
        </w:rPr>
        <w:t xml:space="preserve">Ongoing Monitoring: </w:t>
      </w:r>
      <w:r>
        <w:rPr>
          <w:sz w:val="22"/>
          <w:szCs w:val="22"/>
        </w:rPr>
        <w:t xml:space="preserve">Establish regular reporting on staffing ratios, response times, and budget adequacy.</w:t>
      </w:r>
    </w:p>
    <w:p>
      <w:r>
        <w:br w:type="page"/>
      </w:r>
    </w:p>
    <w:p>
      <w:pPr>
        <w:pStyle w:val="Heading1"/>
      </w:pPr>
      <w:r>
        <w:rPr>
          <w:color w:val="B71C1C"/>
        </w:rPr>
        <w:t xml:space="preserve">Data Sources</w:t>
      </w:r>
    </w:p>
    <w:p>
      <w:pPr>
        <w:spacing w:before="200"/>
      </w:pPr>
      <w:r>
        <w:rPr>
          <w:sz w:val="22"/>
          <w:szCs w:val="22"/>
        </w:rPr>
        <w:t xml:space="preserve">All data in this report is derived from publicly available government sources:</w:t>
      </w:r>
    </w:p>
    <w:p>
      <w:pPr>
        <w:pStyle w:val="ListParagraph"/>
        <w:numPr>
          <w:ilvl w:val="0"/>
          <w:numId w:val="3"/>
        </w:numPr>
      </w:pPr>
      <w:r>
        <w:rPr>
          <w:b/>
          <w:bCs/>
          <w:sz w:val="20"/>
          <w:szCs w:val="20"/>
        </w:rPr>
        <w:t xml:space="preserve">California State Controller's Office</w:t>
      </w:r>
      <w:r>
        <w:rPr>
          <w:sz w:val="20"/>
          <w:szCs w:val="20"/>
        </w:rPr>
        <w:t xml:space="preserve"> — County Financial Transactions Reports (bythenumbers.sco.ca.gov)</w:t>
      </w:r>
    </w:p>
    <w:p>
      <w:pPr>
        <w:pStyle w:val="ListParagraph"/>
        <w:numPr>
          <w:ilvl w:val="0"/>
          <w:numId w:val="3"/>
        </w:numPr>
      </w:pPr>
      <w:r>
        <w:rPr>
          <w:b/>
          <w:bCs/>
          <w:sz w:val="20"/>
          <w:szCs w:val="20"/>
        </w:rPr>
        <w:t xml:space="preserve">NFPA 1710</w:t>
      </w:r>
      <w:r>
        <w:rPr>
          <w:sz w:val="20"/>
          <w:szCs w:val="20"/>
        </w:rPr>
        <w:t xml:space="preserve"> — Standard for Career Fire Department Organization &amp; Deployment (nfpa.org)</w:t>
      </w:r>
    </w:p>
    <w:p>
      <w:pPr>
        <w:pStyle w:val="ListParagraph"/>
        <w:numPr>
          <w:ilvl w:val="0"/>
          <w:numId w:val="3"/>
        </w:numPr>
      </w:pPr>
      <w:r>
        <w:rPr>
          <w:b/>
          <w:bCs/>
          <w:sz w:val="20"/>
          <w:szCs w:val="20"/>
        </w:rPr>
        <w:t xml:space="preserve">CNN Investigation</w:t>
      </w:r>
      <w:r>
        <w:rPr>
          <w:sz w:val="20"/>
          <w:szCs w:val="20"/>
        </w:rPr>
        <w:t xml:space="preserve"> — "LA Fire Department Among Most Understaffed in America" (January 2025)</w:t>
      </w:r>
    </w:p>
    <w:p>
      <w:pPr>
        <w:pStyle w:val="ListParagraph"/>
        <w:numPr>
          <w:ilvl w:val="0"/>
          <w:numId w:val="3"/>
        </w:numPr>
      </w:pPr>
      <w:r>
        <w:rPr>
          <w:b/>
          <w:bCs/>
          <w:sz w:val="20"/>
          <w:szCs w:val="20"/>
        </w:rPr>
        <w:t xml:space="preserve">Bureau of Labor Statistics</w:t>
      </w:r>
      <w:r>
        <w:rPr>
          <w:sz w:val="20"/>
          <w:szCs w:val="20"/>
        </w:rPr>
        <w:t xml:space="preserve"> — Consumer Price Index, Los Angeles Area</w:t>
      </w:r>
    </w:p>
    <w:p>
      <w:pPr>
        <w:pStyle w:val="ListParagraph"/>
        <w:numPr>
          <w:ilvl w:val="0"/>
          <w:numId w:val="3"/>
        </w:numPr>
      </w:pPr>
      <w:r>
        <w:rPr>
          <w:b/>
          <w:bCs/>
          <w:sz w:val="20"/>
          <w:szCs w:val="20"/>
        </w:rPr>
        <w:t xml:space="preserve">FireRescue1 / CBS News</w:t>
      </w:r>
      <w:r>
        <w:rPr>
          <w:sz w:val="20"/>
          <w:szCs w:val="20"/>
        </w:rPr>
        <w:t xml:space="preserve"> — Fire department staffing analysis and Fire Chief statements</w:t>
      </w:r>
    </w:p>
    <w:p>
      <w:pPr>
        <w:spacing w:before="4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Pr>
          <w:p>
            <w:pPr>
              <w:spacing w:before="100" w:after="100"/>
            </w:pPr>
            <w:r>
              <w:rPr>
                <w:b/>
                <w:bCs/>
                <w:sz w:val="16"/>
                <w:szCs w:val="16"/>
              </w:rPr>
              <w:t xml:space="preserve">DISCLAIMER: </w:t>
            </w:r>
            <w:r>
              <w:rPr>
                <w:i/>
                <w:iCs/>
                <w:sz w:val="16"/>
                <w:szCs w:val="16"/>
              </w:rPr>
              <w:t xml:space="preserve">This report is prepared from publicly available data for informational purposes. All figures can be independently verified at the sources cited. Staffing estimates may vary based on definitions and reporting periods.</w:t>
            </w:r>
          </w:p>
        </w:tc>
      </w:tr>
    </w:tbl>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IAFF Local 1014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200"/>
      <w:jc w:val="left"/>
    </w:pPr>
    <w:rPr>
      <w:b/>
      <w:bCs/>
      <w:color w:val="B71C1C"/>
      <w:sz w:val="44"/>
      <w:szCs w:val="44"/>
    </w:rPr>
  </w:style>
  <w:style w:type="paragraph" w:styleId="Heading1">
    <w:name w:val="Heading 1"/>
    <w:basedOn w:val="Normal"/>
    <w:pPr>
      <w:spacing w:before="300" w:after="150"/>
    </w:pPr>
    <w:rPr>
      <w:b/>
      <w:bCs/>
      <w:color w:val="B71C1C"/>
      <w:sz w:val="36"/>
      <w:szCs w:val="36"/>
    </w:rPr>
  </w:style>
  <w:style w:type="paragraph" w:styleId="Heading2">
    <w:name w:val="Heading 2"/>
    <w:basedOn w:val="Normal"/>
    <w:pPr>
      <w:spacing w:before="200" w:after="100"/>
    </w:pPr>
    <w:rPr>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2026-01-24T05:46:04.831Z</dcterms:created>
  <dcterms:modified xsi:type="dcterms:W3CDTF">2026-01-24T05:46:04.831Z</dcterms:modified>
</cp:coreProperties>
</file>

<file path=docProps/custom.xml><?xml version="1.0" encoding="utf-8"?>
<Properties xmlns="http://schemas.openxmlformats.org/officeDocument/2006/custom-properties" xmlns:vt="http://schemas.openxmlformats.org/officeDocument/2006/docPropsVTypes"/>
</file>